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A567" w14:textId="0E0B6A4E" w:rsidR="00EF2110" w:rsidRPr="00C64925" w:rsidRDefault="00B8733A">
      <w:pPr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IBM Plex Sans SemiBold"/>
          <w:b/>
          <w:bCs/>
          <w:color w:val="30206B"/>
          <w:sz w:val="50"/>
          <w:szCs w:val="50"/>
        </w:rPr>
        <w:t>Pay Equity Audit Checklist</w:t>
      </w:r>
    </w:p>
    <w:p w14:paraId="1C453324" w14:textId="670028FA" w:rsidR="00EF2110" w:rsidRPr="00C64925" w:rsidRDefault="00EF2110">
      <w:pPr>
        <w:widowControl w:val="0"/>
      </w:pPr>
    </w:p>
    <w:tbl>
      <w:tblPr>
        <w:tblStyle w:val="a1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EF2110" w:rsidRPr="00C64925" w14:paraId="5D2767DD" w14:textId="77777777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00000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7B3F0" w14:textId="77777777" w:rsidR="00EF2110" w:rsidRPr="003641D2" w:rsidRDefault="00000000">
            <w:pPr>
              <w:widowControl w:val="0"/>
              <w:spacing w:line="273" w:lineRule="auto"/>
              <w:rPr>
                <w:rFonts w:eastAsia="IBM Plex Sans SemiBold"/>
                <w:b/>
                <w:color w:val="30206B"/>
                <w:sz w:val="21"/>
                <w:szCs w:val="21"/>
              </w:rPr>
            </w:pPr>
            <w:r w:rsidRPr="003641D2">
              <w:rPr>
                <w:rFonts w:eastAsia="IBM Plex Sans SemiBold"/>
                <w:b/>
                <w:color w:val="30206B"/>
                <w:sz w:val="21"/>
                <w:szCs w:val="21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EB914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color w:val="30206B"/>
                <w:sz w:val="21"/>
                <w:szCs w:val="21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F2BA0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color w:val="30206B"/>
                <w:sz w:val="21"/>
                <w:szCs w:val="21"/>
              </w:rPr>
              <w:t>Not applicable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9809A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color w:val="30206B"/>
                <w:sz w:val="21"/>
                <w:szCs w:val="21"/>
              </w:rPr>
              <w:t>Note</w:t>
            </w:r>
          </w:p>
        </w:tc>
      </w:tr>
      <w:tr w:rsidR="00EF2110" w:rsidRPr="00C64925" w14:paraId="6413775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C873E8" w14:textId="52A648D6" w:rsidR="00EF2110" w:rsidRPr="003641D2" w:rsidRDefault="0051663C">
            <w:pPr>
              <w:widowControl w:val="0"/>
              <w:spacing w:line="273" w:lineRule="auto"/>
              <w:rPr>
                <w:rFonts w:eastAsia="IBM Plex Sans"/>
                <w:b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b/>
                <w:color w:val="FFFFFF"/>
                <w:sz w:val="21"/>
                <w:szCs w:val="21"/>
              </w:rPr>
              <w:t>Initial preparation</w:t>
            </w:r>
          </w:p>
        </w:tc>
      </w:tr>
      <w:tr w:rsidR="00EF2110" w:rsidRPr="00C64925" w14:paraId="14B9B8D8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5A882" w14:textId="66D51BCF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Define the scope of the audit (full company, departments, protected characteristics)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E58A4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C6492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B8E7A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0"/>
                <w:id w:val="375362780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5C4C0" w14:textId="77777777" w:rsidR="00EF2110" w:rsidRPr="00C64925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0" w:name="bookmark=id.gjdgxs" w:colFirst="0" w:colLast="0"/>
            <w:bookmarkEnd w:id="0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35CE6E3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4E7B3" w14:textId="507D027B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Set objectives (identifying pay disparities or reviewing systemic issues)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97E77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"/>
                <w:id w:val="30027424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57D29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C6492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F773E" w14:textId="77777777" w:rsidR="00EF2110" w:rsidRPr="00C64925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1" w:name="bookmark=id.30j0zll" w:colFirst="0" w:colLast="0"/>
            <w:bookmarkEnd w:id="1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2F6120F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66AED" w14:textId="1A913A79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Identify the team involved (HR, finance, legal, external consultants)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0DC1E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2"/>
                <w:id w:val="-182326394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93275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3"/>
                <w:id w:val="-1897041699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177E4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629852BF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C9D1" w14:textId="009CCDD6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Set a timeline and allocate resources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031F8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4"/>
                <w:id w:val="739914008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99ECE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5"/>
                <w:id w:val="-952319354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E2904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25A76F5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B507E" w14:textId="5F4F4F29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Secure leadership support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BA2DA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6"/>
                <w:id w:val="-207646314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35E10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7"/>
                <w:id w:val="-198207687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C4FA0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1D9EF825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0C24" w14:textId="613F954B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Prepare for potential compensation adjustments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6943F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8"/>
                <w:id w:val="297579489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2268E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9"/>
                <w:id w:val="897625868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DDE1E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518AB1E4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275B6" w14:textId="6D623FA0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Collect and clean </w:t>
            </w:r>
            <w:r w:rsidR="0051663C" w:rsidRPr="003641D2">
              <w:rPr>
                <w:rFonts w:eastAsia="IBM Plex Sans"/>
                <w:b/>
                <w:color w:val="FFFFFF"/>
                <w:sz w:val="21"/>
                <w:szCs w:val="21"/>
              </w:rPr>
              <w:t>the</w:t>
            </w:r>
            <w:r w:rsidRPr="003641D2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 relevant data</w:t>
            </w:r>
          </w:p>
        </w:tc>
      </w:tr>
      <w:tr w:rsidR="00EF2110" w:rsidRPr="00C64925" w14:paraId="3557ABEB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74B86" w14:textId="621CE5D4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Collect job descriptions and required qualifications for roles under review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92965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0"/>
                <w:id w:val="-725449961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6001A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1"/>
                <w:id w:val="202674881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EBB63" w14:textId="77777777" w:rsidR="00EF2110" w:rsidRPr="00C64925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2" w:name="bookmark=id.1fob9te" w:colFirst="0" w:colLast="0"/>
            <w:bookmarkEnd w:id="2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5404FE58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1FDF" w14:textId="09A9DF85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Extract employee data — job title, gender, race/ethnicity, hire date, pay, location, hours worked, and other compensation details (bonuses, overtime, benefits)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2B57B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2"/>
                <w:id w:val="148943625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9191C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13"/>
                <w:id w:val="2109458715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51075" w14:textId="77777777" w:rsidR="00EF2110" w:rsidRPr="00C64925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3" w:name="bookmark=id.3znysh7" w:colFirst="0" w:colLast="0"/>
            <w:bookmarkEnd w:id="3"/>
            <w:r w:rsidRPr="00C64925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41BACF67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E4564" w14:textId="54F09B33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Review and verify that job descriptions accurately reflect duties and required skills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8FBD8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4"/>
                <w:id w:val="-2136006402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28A9A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5"/>
                <w:id w:val="-245733446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BF676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489B2EAB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87A6" w14:textId="2D7EE1F9" w:rsidR="00EF2110" w:rsidRPr="003641D2" w:rsidRDefault="00B8733A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3641D2">
              <w:rPr>
                <w:rFonts w:eastAsia="IBM Plex Sans"/>
                <w:color w:val="30206B"/>
                <w:sz w:val="21"/>
                <w:szCs w:val="21"/>
              </w:rPr>
              <w:t>Confirm data integrity and consistency across systems (ideally using a pay equity audit tool or spreadsheet)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7ADFE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6"/>
                <w:id w:val="-1729287128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AB613" w14:textId="77777777" w:rsidR="00EF2110" w:rsidRPr="00C64925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sdt>
              <w:sdtPr>
                <w:tag w:val="goog_rdk_17"/>
                <w:id w:val="1081877721"/>
              </w:sdtPr>
              <w:sdtContent>
                <w:r w:rsidRPr="00C6492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7D7B6" w14:textId="77777777" w:rsidR="00EF2110" w:rsidRPr="00C64925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459C20F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3A0C9" w14:textId="784D71CD" w:rsidR="00EF2110" w:rsidRPr="001616D0" w:rsidRDefault="0051663C">
            <w:pPr>
              <w:widowControl w:val="0"/>
              <w:rPr>
                <w:rFonts w:eastAsia="IBM Plex Sans"/>
                <w:color w:val="30206B"/>
              </w:rPr>
            </w:pPr>
            <w:r w:rsidRPr="001616D0">
              <w:rPr>
                <w:rFonts w:eastAsia="IBM Plex Sans"/>
                <w:b/>
                <w:color w:val="FFFFFF"/>
              </w:rPr>
              <w:t>Conduct the a</w:t>
            </w:r>
            <w:r w:rsidR="00B8733A" w:rsidRPr="001616D0">
              <w:rPr>
                <w:rFonts w:eastAsia="IBM Plex Sans"/>
                <w:b/>
                <w:color w:val="FFFFFF"/>
              </w:rPr>
              <w:t xml:space="preserve">udit </w:t>
            </w:r>
          </w:p>
        </w:tc>
      </w:tr>
      <w:tr w:rsidR="00EF2110" w:rsidRPr="00C64925" w14:paraId="3DCCC293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F3A1" w14:textId="54B670A6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Group together employees performing equal or substantially similar work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729CD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0"/>
                <w:id w:val="-1819642128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B6DCB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1"/>
                <w:id w:val="933404147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FFA29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4" w:name="bookmark=id.2et92p0" w:colFirst="0" w:colLast="0"/>
            <w:bookmarkEnd w:id="4"/>
            <w:r w:rsidRPr="001616D0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258BDDBC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14669" w14:textId="62881F71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Analyze average total pay by group and demographic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70F27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CF8F2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</w:rPr>
            </w:pPr>
            <w:sdt>
              <w:sdtPr>
                <w:tag w:val="goog_rdk_22"/>
                <w:id w:val="-959415403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75B72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  <w:bookmarkStart w:id="5" w:name="bookmark=id.tyjcwt" w:colFirst="0" w:colLast="0"/>
            <w:bookmarkEnd w:id="5"/>
            <w:r w:rsidRPr="001616D0">
              <w:rPr>
                <w:rFonts w:eastAsia="IBM Plex Sans"/>
                <w:color w:val="30206B"/>
              </w:rPr>
              <w:t>     </w:t>
            </w:r>
          </w:p>
        </w:tc>
      </w:tr>
      <w:tr w:rsidR="00EF2110" w:rsidRPr="00C64925" w14:paraId="05F11E16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64D6B" w14:textId="6842B78A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Identify pay differences within those groups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4A65D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F02DE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E019F" w14:textId="77777777" w:rsidR="00EF2110" w:rsidRPr="001616D0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EF2110" w:rsidRPr="00C64925" w14:paraId="37D3D140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BE5FF" w14:textId="7360EBCB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Investigate whether differences can be explained by legal factors (e.g., tenure, performance, location)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31D5C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A3555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CA85D" w14:textId="77777777" w:rsidR="00EF2110" w:rsidRPr="001616D0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  <w:tr w:rsidR="00DB3BA4" w:rsidRPr="00C64925" w14:paraId="77FD6ED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154E5" w14:textId="1DC5AA1D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Flag unexplained or non-compliant discrepancies for correction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2B208" w14:textId="49642E1A" w:rsidR="00DB3BA4" w:rsidRPr="001616D0" w:rsidRDefault="00DB3BA4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49268" w14:textId="234970F1" w:rsidR="00DB3BA4" w:rsidRPr="001616D0" w:rsidRDefault="00DB3BA4">
            <w:pPr>
              <w:widowControl w:val="0"/>
              <w:spacing w:line="273" w:lineRule="auto"/>
              <w:ind w:left="523" w:right="-240" w:hanging="86"/>
              <w:rPr>
                <w:rFonts w:ascii="Segoe UI Symbol" w:eastAsia="MS Gothic" w:hAnsi="Segoe UI Symbol" w:cs="Segoe UI Symbol"/>
              </w:rPr>
            </w:pPr>
            <w:r w:rsidRPr="001616D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16DC9" w14:textId="3F80D323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</w:rPr>
            </w:pPr>
          </w:p>
        </w:tc>
      </w:tr>
    </w:tbl>
    <w:p w14:paraId="540F5971" w14:textId="431BE9F6" w:rsidR="00C64925" w:rsidRDefault="001616D0">
      <w:pPr>
        <w:rPr>
          <w:rFonts w:eastAsia="IBM Plex Sans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59A7E" wp14:editId="3F30DC6F">
                <wp:simplePos x="0" y="0"/>
                <wp:positionH relativeFrom="column">
                  <wp:posOffset>2870200</wp:posOffset>
                </wp:positionH>
                <wp:positionV relativeFrom="paragraph">
                  <wp:posOffset>221615</wp:posOffset>
                </wp:positionV>
                <wp:extent cx="1167765" cy="524510"/>
                <wp:effectExtent l="0" t="0" r="0" b="0"/>
                <wp:wrapNone/>
                <wp:docPr id="8409717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FB2D7" w14:textId="77777777" w:rsidR="003641D2" w:rsidRDefault="003641D2" w:rsidP="003641D2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A77FBA" wp14:editId="5ADBDF08">
                                  <wp:extent cx="731520" cy="201168"/>
                                  <wp:effectExtent l="0" t="0" r="0" b="2540"/>
                                  <wp:docPr id="1410324981" name="Picture 141032498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CBECA" w14:textId="77777777" w:rsidR="003641D2" w:rsidRPr="002D183E" w:rsidRDefault="00000000" w:rsidP="003641D2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="003641D2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9A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6pt;margin-top:17.45pt;width:91.95pt;height:4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GGZ4lHmAAAADwEAAA8AAAAAAAAAAAAAAAAAcAQAAGRycy9kb3ducmV2Lnht&#13;&#10;bFBLBQYAAAAABAAEAPMAAACDBQAAAAA=&#13;&#10;" filled="f" stroked="f" strokeweight=".5pt">
                <v:textbox>
                  <w:txbxContent>
                    <w:p w14:paraId="649FB2D7" w14:textId="77777777" w:rsidR="003641D2" w:rsidRDefault="003641D2" w:rsidP="003641D2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EA77FBA" wp14:editId="5ADBDF08">
                            <wp:extent cx="731520" cy="201168"/>
                            <wp:effectExtent l="0" t="0" r="0" b="2540"/>
                            <wp:docPr id="1410324981" name="Picture 141032498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CBECA" w14:textId="77777777" w:rsidR="003641D2" w:rsidRPr="002D183E" w:rsidRDefault="003641D2" w:rsidP="003641D2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641D2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AA090" wp14:editId="7AFFCB95">
                <wp:simplePos x="0" y="0"/>
                <wp:positionH relativeFrom="column">
                  <wp:posOffset>2870200</wp:posOffset>
                </wp:positionH>
                <wp:positionV relativeFrom="paragraph">
                  <wp:posOffset>735965</wp:posOffset>
                </wp:positionV>
                <wp:extent cx="1167765" cy="524510"/>
                <wp:effectExtent l="0" t="0" r="0" b="0"/>
                <wp:wrapNone/>
                <wp:docPr id="2132864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A1B10" w14:textId="77777777" w:rsidR="003641D2" w:rsidRDefault="003641D2" w:rsidP="003641D2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6D558F" wp14:editId="4A781E73">
                                  <wp:extent cx="731520" cy="201168"/>
                                  <wp:effectExtent l="0" t="0" r="0" b="2540"/>
                                  <wp:docPr id="95532087" name="Picture 9553208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0D152B" w14:textId="77777777" w:rsidR="003641D2" w:rsidRPr="002D183E" w:rsidRDefault="00000000" w:rsidP="003641D2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="003641D2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A090" id="_x0000_s1027" type="#_x0000_t202" style="position:absolute;margin-left:226pt;margin-top:57.95pt;width:91.95pt;height:4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" filled="f" stroked="f" strokeweight=".5pt">
                <v:textbox>
                  <w:txbxContent>
                    <w:p w14:paraId="4B9A1B10" w14:textId="77777777" w:rsidR="003641D2" w:rsidRDefault="003641D2" w:rsidP="003641D2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316D558F" wp14:editId="4A781E73">
                            <wp:extent cx="731520" cy="201168"/>
                            <wp:effectExtent l="0" t="0" r="0" b="2540"/>
                            <wp:docPr id="95532087" name="Picture 9553208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0D152B" w14:textId="77777777" w:rsidR="003641D2" w:rsidRPr="002D183E" w:rsidRDefault="003641D2" w:rsidP="003641D2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64925">
        <w:rPr>
          <w:rFonts w:eastAsia="IBM Plex Sans"/>
          <w:color w:val="30206B"/>
          <w:sz w:val="16"/>
          <w:szCs w:val="16"/>
          <w:u w:val="single"/>
        </w:rPr>
        <w:br w:type="page"/>
      </w:r>
    </w:p>
    <w:p w14:paraId="6BE7320B" w14:textId="77777777" w:rsidR="00EF2110" w:rsidRPr="00C64925" w:rsidRDefault="00EF2110">
      <w:pPr>
        <w:jc w:val="center"/>
        <w:rPr>
          <w:color w:val="30206B"/>
        </w:rPr>
      </w:pPr>
    </w:p>
    <w:tbl>
      <w:tblPr>
        <w:tblStyle w:val="a2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EF2110" w:rsidRPr="00C64925" w14:paraId="47FEAF1E" w14:textId="77777777">
        <w:trPr>
          <w:trHeight w:val="480"/>
          <w:jc w:val="center"/>
        </w:trPr>
        <w:tc>
          <w:tcPr>
            <w:tcW w:w="510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7C2B7" w14:textId="77777777" w:rsidR="00EF2110" w:rsidRPr="001616D0" w:rsidRDefault="00000000">
            <w:pPr>
              <w:widowControl w:val="0"/>
              <w:spacing w:line="273" w:lineRule="auto"/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Task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59D8D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Done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A1778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Not applicable</w:t>
            </w:r>
          </w:p>
        </w:tc>
        <w:tc>
          <w:tcPr>
            <w:tcW w:w="27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329FE" w14:textId="77777777" w:rsidR="00EF2110" w:rsidRPr="001616D0" w:rsidRDefault="00000000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1616D0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Note</w:t>
            </w:r>
          </w:p>
        </w:tc>
      </w:tr>
      <w:tr w:rsidR="00EF2110" w:rsidRPr="00C64925" w14:paraId="23FDF455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90F46F" w14:textId="021A9FAD" w:rsidR="00EF2110" w:rsidRPr="001616D0" w:rsidRDefault="0051663C">
            <w:pPr>
              <w:widowControl w:val="0"/>
              <w:spacing w:line="273" w:lineRule="auto"/>
              <w:rPr>
                <w:rFonts w:eastAsia="IBM Plex Sans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Analyze causes of p</w:t>
            </w:r>
            <w:r w:rsidR="00B8733A" w:rsidRPr="001616D0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ay </w:t>
            </w:r>
          </w:p>
        </w:tc>
      </w:tr>
      <w:tr w:rsidR="00EF2110" w:rsidRPr="00C64925" w14:paraId="641BAF9E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2895" w14:textId="0E60F584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Review organizational pay policies and any documented justification for differentials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8D5D1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3"/>
                <w:id w:val="1684238369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F65CE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4"/>
                <w:id w:val="-375625809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15020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EF2110" w:rsidRPr="00C64925" w14:paraId="63000C79" w14:textId="77777777" w:rsidTr="00C64925">
        <w:trPr>
          <w:cantSplit/>
          <w:trHeight w:val="30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D31FE" w14:textId="3CF1413F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Evaluate if current policies are being applied consistently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39ED7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14F1D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5"/>
                <w:id w:val="-361596969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4B713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EF2110" w:rsidRPr="00C64925" w14:paraId="69E5CB71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B5D1E" w14:textId="6E228265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Identify any informal or subjective practices that could be contributing to bias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01599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r w:rsidRPr="001616D0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97648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r w:rsidRPr="001616D0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B90FA" w14:textId="77777777" w:rsidR="00EF2110" w:rsidRPr="001616D0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EF2110" w:rsidRPr="00C64925" w14:paraId="24E1A623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9B39" w14:textId="4A228DB7" w:rsidR="00EF2110" w:rsidRPr="001616D0" w:rsidRDefault="0051663C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Create an a</w:t>
            </w:r>
            <w:r w:rsidR="00B8733A" w:rsidRPr="001616D0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ction plan </w:t>
            </w:r>
          </w:p>
        </w:tc>
      </w:tr>
      <w:tr w:rsidR="00EF2110" w:rsidRPr="00C64925" w14:paraId="37D14C5D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F4AAD" w14:textId="6E6A6290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Create a plan to correct unjustified pay gaps, including salary adjustments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0D75F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-826514517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3090B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7"/>
                <w:id w:val="-438763574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EA0F2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DB3BA4" w:rsidRPr="00C64925" w14:paraId="25FA5165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63202" w14:textId="7E7F22E3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Set priorities based on severity or risk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962B3" w14:textId="3532CA2A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-1888400888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C3D20" w14:textId="548F11CD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-719968551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1D522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DB3BA4" w:rsidRPr="00C64925" w14:paraId="4D6E0A0A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58715" w14:textId="5E3DA8BC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Review and revise hiring, promotion, and compensation practices to prevent recurrence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C33FA" w14:textId="6D42FF89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-251361566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2E7B3" w14:textId="164830FC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1754704231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F6476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DB3BA4" w:rsidRPr="00C64925" w14:paraId="1F5D705F" w14:textId="77777777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7EE2" w14:textId="02541126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Consider implementing salary bands to ensure greater consistency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D74BA" w14:textId="2628D17B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2091113672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3C822" w14:textId="26916E92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6"/>
                <w:id w:val="233978294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17B8B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EF2110" w:rsidRPr="00C64925" w14:paraId="7B572F16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6D90" w14:textId="483F1250" w:rsidR="00EF2110" w:rsidRPr="001616D0" w:rsidRDefault="00B8733A">
            <w:pPr>
              <w:widowControl w:val="0"/>
              <w:spacing w:line="273" w:lineRule="auto"/>
              <w:ind w:left="42" w:right="-240" w:hanging="42"/>
              <w:rPr>
                <w:rFonts w:eastAsia="IBM Plex Sans"/>
                <w:color w:val="FFFFFF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Communicat</w:t>
            </w:r>
            <w:r w:rsidR="0051663C" w:rsidRPr="001616D0">
              <w:rPr>
                <w:rFonts w:eastAsia="IBM Plex Sans"/>
                <w:b/>
                <w:color w:val="FFFFFF"/>
                <w:sz w:val="21"/>
                <w:szCs w:val="21"/>
              </w:rPr>
              <w:t>e the</w:t>
            </w: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 findings</w:t>
            </w:r>
          </w:p>
        </w:tc>
      </w:tr>
      <w:tr w:rsidR="00EF2110" w:rsidRPr="00C64925" w14:paraId="79E5D571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4FE8" w14:textId="23F86D50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Share key findings with senior leadership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46D4C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8"/>
                <w:id w:val="1256631338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1B34E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9"/>
                <w:id w:val="841822975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8A81B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EF2110" w:rsidRPr="00C64925" w14:paraId="6A909151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A54C1" w14:textId="58B486D0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Decide on messaging for employees (if appropriate)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2179A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0"/>
                <w:id w:val="-1528787092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03E38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1"/>
                <w:id w:val="-2001036562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FD664" w14:textId="77777777" w:rsidR="00EF2110" w:rsidRPr="001616D0" w:rsidRDefault="0000000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DB3BA4" w:rsidRPr="00C64925" w14:paraId="197CFD4D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C44C8" w14:textId="2ED912D7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Emphasize the company’s commitment to fairness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7666C" w14:textId="1E224F73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8"/>
                <w:id w:val="1692717111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13F2A" w14:textId="329E5793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8"/>
                <w:id w:val="1251847939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0E062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DB3BA4" w:rsidRPr="00C64925" w14:paraId="45ACEBC6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C586D" w14:textId="4125CD5B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Detail the next steps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93752" w14:textId="235B3DDE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8"/>
                <w:id w:val="-14392062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C29F1" w14:textId="5303610A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28"/>
                <w:id w:val="-54401772"/>
              </w:sdtPr>
              <w:sdtContent>
                <w:r w:rsidR="00DB3BA4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1E4A2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EF2110" w:rsidRPr="00C64925" w14:paraId="435DE9CA" w14:textId="77777777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3CC35" w14:textId="6E81724C" w:rsidR="00EF2110" w:rsidRPr="001616D0" w:rsidRDefault="00B8733A">
            <w:pPr>
              <w:widowControl w:val="0"/>
              <w:spacing w:line="273" w:lineRule="auto"/>
              <w:ind w:right="-240"/>
              <w:rPr>
                <w:rFonts w:eastAsia="IBM Plex Sans"/>
                <w:b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Monitoring and follow-up</w:t>
            </w:r>
          </w:p>
        </w:tc>
      </w:tr>
      <w:tr w:rsidR="00EF2110" w:rsidRPr="00C64925" w14:paraId="09B1EEDC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ED0BD" w14:textId="5FB3B281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Schedule regular audits (annually or bi-annually)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A9AC7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2"/>
                <w:id w:val="221949645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0C65F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3"/>
                <w:id w:val="1463000999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6EA94" w14:textId="77777777" w:rsidR="00EF2110" w:rsidRPr="001616D0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EF2110" w:rsidRPr="00C64925" w14:paraId="01FB5FE8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51F27" w14:textId="0BD3FA80" w:rsidR="00EF2110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Use a pay equity audit template and, where possible, pay equity audit software to track changes over time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8DB9B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4"/>
                <w:id w:val="437488620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DAB3E" w14:textId="77777777" w:rsidR="00EF2110" w:rsidRPr="001616D0" w:rsidRDefault="00000000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5"/>
                <w:id w:val="722794978"/>
              </w:sdtPr>
              <w:sdtContent>
                <w:r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F2C82" w14:textId="77777777" w:rsidR="00EF2110" w:rsidRPr="001616D0" w:rsidRDefault="00EF2110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DB3BA4" w:rsidRPr="00C64925" w14:paraId="731301A6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62F0A" w14:textId="6AFC5F26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Monitor compensation practices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789EB" w14:textId="5E4F30CA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4"/>
                <w:id w:val="2089798584"/>
              </w:sdtPr>
              <w:sdtContent>
                <w:r w:rsidR="001616D0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DCCE" w14:textId="048CABB0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4"/>
                <w:id w:val="1042246359"/>
              </w:sdtPr>
              <w:sdtContent>
                <w:r w:rsidR="001616D0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D9BE9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  <w:tr w:rsidR="00DB3BA4" w:rsidRPr="00C64925" w14:paraId="68F18188" w14:textId="77777777" w:rsidTr="00DB3BA4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86E83" w14:textId="33E12776" w:rsidR="00DB3BA4" w:rsidRPr="001616D0" w:rsidRDefault="00DB3BA4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Ensure continued compliance with laws and internal policies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470FB" w14:textId="4D2AA549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4"/>
                <w:id w:val="1195805632"/>
              </w:sdtPr>
              <w:sdtContent>
                <w:r w:rsidR="001616D0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F1B68" w14:textId="20F58513" w:rsidR="00DB3BA4" w:rsidRPr="001616D0" w:rsidRDefault="00000000">
            <w:pPr>
              <w:widowControl w:val="0"/>
              <w:spacing w:line="273" w:lineRule="auto"/>
              <w:ind w:left="523" w:right="-240" w:hanging="86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34"/>
                <w:id w:val="-265924956"/>
              </w:sdtPr>
              <w:sdtContent>
                <w:r w:rsidR="001616D0" w:rsidRPr="001616D0">
                  <w:rPr>
                    <w:rFonts w:ascii="Segoe UI Symbol" w:eastAsia="Arial Unicode MS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B56E6" w14:textId="77777777" w:rsidR="00DB3BA4" w:rsidRPr="001616D0" w:rsidRDefault="00DB3BA4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sz w:val="21"/>
                <w:szCs w:val="21"/>
              </w:rPr>
            </w:pPr>
          </w:p>
        </w:tc>
      </w:tr>
    </w:tbl>
    <w:p w14:paraId="307187B2" w14:textId="77777777" w:rsidR="00EF2110" w:rsidRPr="00C64925" w:rsidRDefault="00EF2110">
      <w:pPr>
        <w:spacing w:before="200"/>
      </w:pPr>
    </w:p>
    <w:p w14:paraId="2FF24B16" w14:textId="77777777" w:rsidR="001616D0" w:rsidRDefault="001616D0" w:rsidP="00DB3BA4"/>
    <w:p w14:paraId="6F6665DB" w14:textId="15083196" w:rsidR="00EF2110" w:rsidRPr="00C64925" w:rsidRDefault="00EF2110" w:rsidP="00DB3BA4"/>
    <w:p w14:paraId="5E98BF9C" w14:textId="76631258" w:rsidR="007A6726" w:rsidRDefault="001616D0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56F63" wp14:editId="11A94B4F">
                <wp:simplePos x="0" y="0"/>
                <wp:positionH relativeFrom="column">
                  <wp:posOffset>2645828</wp:posOffset>
                </wp:positionH>
                <wp:positionV relativeFrom="paragraph">
                  <wp:posOffset>267738</wp:posOffset>
                </wp:positionV>
                <wp:extent cx="1167765" cy="524510"/>
                <wp:effectExtent l="0" t="0" r="0" b="0"/>
                <wp:wrapNone/>
                <wp:docPr id="1143942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E0997" w14:textId="77777777" w:rsidR="00C64925" w:rsidRDefault="00C64925" w:rsidP="00C64925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528C80" wp14:editId="01E4E0AC">
                                  <wp:extent cx="731520" cy="201168"/>
                                  <wp:effectExtent l="0" t="0" r="0" b="2540"/>
                                  <wp:docPr id="856778698" name="Picture 85677869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02D3A0" w14:textId="77777777" w:rsidR="00C64925" w:rsidRPr="002D183E" w:rsidRDefault="00000000" w:rsidP="00C64925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11">
                              <w:r w:rsidR="00C64925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6F6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8.35pt;margin-top:21.1pt;width:91.95pt;height: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sOJ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O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" filled="f" stroked="f" strokeweight=".5pt">
                <v:textbox>
                  <w:txbxContent>
                    <w:p w14:paraId="643E0997" w14:textId="77777777" w:rsidR="00C64925" w:rsidRDefault="00C64925" w:rsidP="00C64925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28528C80" wp14:editId="01E4E0AC">
                            <wp:extent cx="731520" cy="201168"/>
                            <wp:effectExtent l="0" t="0" r="0" b="2540"/>
                            <wp:docPr id="856778698" name="Picture 85677869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02D3A0" w14:textId="77777777" w:rsidR="00C64925" w:rsidRPr="002D183E" w:rsidRDefault="00000000" w:rsidP="00C64925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2">
                        <w:r w:rsidR="00C64925"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Style w:val="a1"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w:rsidR="007A6726" w:rsidRPr="00C64925" w14:paraId="2C77442A" w14:textId="77777777" w:rsidTr="00832850">
        <w:trPr>
          <w:trHeight w:val="480"/>
          <w:jc w:val="center"/>
        </w:trPr>
        <w:tc>
          <w:tcPr>
            <w:tcW w:w="10590" w:type="dxa"/>
            <w:tcBorders>
              <w:bottom w:val="single" w:sz="4" w:space="0" w:color="000000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FB534" w14:textId="51376A6E" w:rsidR="007A6726" w:rsidRPr="00396C49" w:rsidRDefault="007A6726" w:rsidP="00DC2FD1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color w:val="30206B"/>
                <w:sz w:val="27"/>
                <w:szCs w:val="27"/>
              </w:rPr>
            </w:pPr>
            <w:r w:rsidRPr="00396C49">
              <w:rPr>
                <w:rFonts w:eastAsia="IBM Plex Sans SemiBold"/>
                <w:b/>
                <w:color w:val="30206B"/>
                <w:sz w:val="27"/>
                <w:szCs w:val="27"/>
              </w:rPr>
              <w:lastRenderedPageBreak/>
              <w:t>Results and Findings</w:t>
            </w:r>
            <w:r w:rsidR="00396C49">
              <w:rPr>
                <w:rFonts w:eastAsia="IBM Plex Sans SemiBold"/>
                <w:b/>
                <w:color w:val="30206B"/>
                <w:sz w:val="27"/>
                <w:szCs w:val="27"/>
              </w:rPr>
              <w:t xml:space="preserve"> S</w:t>
            </w:r>
            <w:r w:rsidRPr="00396C49">
              <w:rPr>
                <w:rFonts w:eastAsia="IBM Plex Sans SemiBold"/>
                <w:b/>
                <w:color w:val="30206B"/>
                <w:sz w:val="27"/>
                <w:szCs w:val="27"/>
              </w:rPr>
              <w:t>ummary</w:t>
            </w:r>
          </w:p>
        </w:tc>
      </w:tr>
      <w:tr w:rsidR="007A6726" w:rsidRPr="00C64925" w14:paraId="77FA2CAE" w14:textId="77777777" w:rsidTr="00DC2FD1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7EC28A" w14:textId="2D2C89E4" w:rsidR="007A6726" w:rsidRPr="001616D0" w:rsidRDefault="007A6726" w:rsidP="00DC2FD1">
            <w:pPr>
              <w:widowControl w:val="0"/>
              <w:spacing w:line="273" w:lineRule="auto"/>
              <w:rPr>
                <w:rFonts w:eastAsia="IBM Plex Sans"/>
                <w:b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Pay disparities identified</w:t>
            </w:r>
          </w:p>
        </w:tc>
      </w:tr>
      <w:tr w:rsidR="007A6726" w:rsidRPr="00C64925" w14:paraId="571EC4C4" w14:textId="77777777" w:rsidTr="003641D2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D5C67" w14:textId="2CE5F36D" w:rsidR="007A6726" w:rsidRPr="001616D0" w:rsidRDefault="007A6726" w:rsidP="007A6726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Summarize the pay disparities that you’ve identified in the audit.</w:t>
            </w:r>
          </w:p>
        </w:tc>
      </w:tr>
      <w:tr w:rsidR="007A6726" w:rsidRPr="00C64925" w14:paraId="5076469E" w14:textId="77777777" w:rsidTr="00DC2FD1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B0330" w14:textId="132D7D64" w:rsidR="007A6726" w:rsidRPr="001616D0" w:rsidRDefault="007A6726" w:rsidP="00DC2FD1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Causes of the identified pay disparities</w:t>
            </w:r>
          </w:p>
        </w:tc>
      </w:tr>
      <w:tr w:rsidR="007A6726" w:rsidRPr="00C64925" w14:paraId="18E4965D" w14:textId="77777777" w:rsidTr="003641D2">
        <w:trPr>
          <w:cantSplit/>
          <w:trHeight w:val="2523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E19F" w14:textId="1D115ACF" w:rsidR="007A6726" w:rsidRPr="001616D0" w:rsidRDefault="001616D0" w:rsidP="001616D0">
            <w:pPr>
              <w:widowControl w:val="0"/>
              <w:spacing w:line="273" w:lineRule="auto"/>
              <w:ind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Highlight what may be contributing to the identified pay gaps (e.g., tenure, role differences).</w:t>
            </w:r>
            <w:r w:rsidR="007A6726" w:rsidRPr="001616D0">
              <w:rPr>
                <w:rFonts w:eastAsia="IBM Plex Sans"/>
                <w:color w:val="30206B"/>
                <w:sz w:val="21"/>
                <w:szCs w:val="21"/>
              </w:rPr>
              <w:t>     </w:t>
            </w:r>
          </w:p>
        </w:tc>
      </w:tr>
      <w:tr w:rsidR="007A6726" w:rsidRPr="00C64925" w14:paraId="042A4631" w14:textId="77777777" w:rsidTr="00DC2FD1">
        <w:trPr>
          <w:cantSplit/>
          <w:trHeight w:val="369"/>
          <w:jc w:val="center"/>
        </w:trPr>
        <w:tc>
          <w:tcPr>
            <w:tcW w:w="10590" w:type="dxa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957CF" w14:textId="7D6B55FB" w:rsidR="007A6726" w:rsidRPr="001616D0" w:rsidRDefault="003641D2" w:rsidP="00DC2FD1">
            <w:pPr>
              <w:widowControl w:val="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b/>
                <w:color w:val="FFFFFF"/>
                <w:sz w:val="21"/>
                <w:szCs w:val="21"/>
              </w:rPr>
              <w:t>Next steps</w:t>
            </w:r>
            <w:r w:rsidR="007A6726" w:rsidRPr="001616D0">
              <w:rPr>
                <w:rFonts w:eastAsia="IBM Plex Sans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3641D2" w:rsidRPr="00C64925" w14:paraId="2A4FA264" w14:textId="77777777" w:rsidTr="003641D2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D75C" w14:textId="2004A677" w:rsidR="003641D2" w:rsidRPr="001616D0" w:rsidRDefault="003641D2" w:rsidP="003641D2">
            <w:pPr>
              <w:widowControl w:val="0"/>
              <w:spacing w:line="273" w:lineRule="auto"/>
              <w:ind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Outline the next steps to address the pay disparities that need to be remedied</w:t>
            </w:r>
            <w:r w:rsidR="001616D0">
              <w:rPr>
                <w:rFonts w:eastAsia="IBM Plex Sans"/>
                <w:color w:val="30206B"/>
                <w:sz w:val="21"/>
                <w:szCs w:val="21"/>
              </w:rPr>
              <w:t xml:space="preserve"> and </w:t>
            </w:r>
            <w:r w:rsidR="001616D0" w:rsidRPr="001616D0">
              <w:rPr>
                <w:rFonts w:eastAsia="IBM Plex Sans"/>
                <w:color w:val="30206B"/>
                <w:sz w:val="21"/>
                <w:szCs w:val="21"/>
              </w:rPr>
              <w:t>the timeline for implementing them.</w:t>
            </w:r>
          </w:p>
        </w:tc>
      </w:tr>
      <w:tr w:rsidR="001616D0" w:rsidRPr="00C64925" w14:paraId="2720FCB8" w14:textId="77777777" w:rsidTr="001616D0">
        <w:trPr>
          <w:cantSplit/>
          <w:trHeight w:val="374"/>
          <w:jc w:val="center"/>
        </w:trPr>
        <w:tc>
          <w:tcPr>
            <w:tcW w:w="10590" w:type="dxa"/>
            <w:shd w:val="clear" w:color="auto" w:fill="30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DAFC" w14:textId="57EFBE2C" w:rsidR="001616D0" w:rsidRPr="001616D0" w:rsidRDefault="001616D0" w:rsidP="003641D2">
            <w:pPr>
              <w:widowControl w:val="0"/>
              <w:spacing w:line="273" w:lineRule="auto"/>
              <w:ind w:right="-240"/>
              <w:rPr>
                <w:rFonts w:eastAsia="IBM Plex Sans"/>
                <w:b/>
                <w:bCs/>
                <w:color w:val="auto"/>
                <w:sz w:val="21"/>
                <w:szCs w:val="21"/>
              </w:rPr>
            </w:pPr>
            <w:r w:rsidRPr="001616D0">
              <w:rPr>
                <w:rFonts w:eastAsia="IBM Plex Sans"/>
                <w:b/>
                <w:bCs/>
                <w:color w:val="auto"/>
                <w:sz w:val="21"/>
                <w:szCs w:val="21"/>
              </w:rPr>
              <w:t>Monitoring and follow-up</w:t>
            </w:r>
          </w:p>
        </w:tc>
      </w:tr>
      <w:tr w:rsidR="001616D0" w:rsidRPr="00C64925" w14:paraId="60FEC60D" w14:textId="77777777" w:rsidTr="001616D0">
        <w:trPr>
          <w:cantSplit/>
          <w:trHeight w:val="2520"/>
          <w:jc w:val="center"/>
        </w:trPr>
        <w:tc>
          <w:tcPr>
            <w:tcW w:w="105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B6DC3" w14:textId="45FD8E45" w:rsidR="001616D0" w:rsidRPr="001616D0" w:rsidRDefault="001616D0" w:rsidP="003641D2">
            <w:pPr>
              <w:widowControl w:val="0"/>
              <w:spacing w:line="273" w:lineRule="auto"/>
              <w:ind w:right="-240"/>
              <w:rPr>
                <w:rFonts w:eastAsia="IBM Plex Sans"/>
                <w:color w:val="30206B"/>
                <w:sz w:val="21"/>
                <w:szCs w:val="21"/>
              </w:rPr>
            </w:pPr>
            <w:r w:rsidRPr="001616D0">
              <w:rPr>
                <w:rFonts w:eastAsia="IBM Plex Sans"/>
                <w:color w:val="30206B"/>
                <w:sz w:val="21"/>
                <w:szCs w:val="21"/>
              </w:rPr>
              <w:t>Describe how pay equity will be tracked going forward and when the next audit will take place.</w:t>
            </w:r>
          </w:p>
        </w:tc>
      </w:tr>
    </w:tbl>
    <w:p w14:paraId="08D105F0" w14:textId="4638B9FE" w:rsidR="00EF2110" w:rsidRPr="00C64925" w:rsidRDefault="00EF2110">
      <w:pPr>
        <w:spacing w:before="200"/>
      </w:pPr>
    </w:p>
    <w:p w14:paraId="6A7632B2" w14:textId="09440CAF" w:rsidR="00EF2110" w:rsidRPr="00C64925" w:rsidRDefault="001616D0">
      <w:pPr>
        <w:rPr>
          <w:rFonts w:eastAsia="IBM Plex Sans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D5CF4" wp14:editId="5E8271EE">
                <wp:simplePos x="0" y="0"/>
                <wp:positionH relativeFrom="column">
                  <wp:posOffset>2764186</wp:posOffset>
                </wp:positionH>
                <wp:positionV relativeFrom="paragraph">
                  <wp:posOffset>551180</wp:posOffset>
                </wp:positionV>
                <wp:extent cx="943393" cy="602569"/>
                <wp:effectExtent l="0" t="0" r="0" b="0"/>
                <wp:wrapNone/>
                <wp:docPr id="938878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393" cy="602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E5FBD" w14:textId="77777777" w:rsidR="001616D0" w:rsidRDefault="001616D0" w:rsidP="001616D0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469038" wp14:editId="031790CF">
                                  <wp:extent cx="731520" cy="201168"/>
                                  <wp:effectExtent l="0" t="0" r="0" b="2540"/>
                                  <wp:docPr id="355778723" name="Picture 3557787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CBB259" w14:textId="77777777" w:rsidR="001616D0" w:rsidRPr="002D183E" w:rsidRDefault="00000000" w:rsidP="001616D0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13">
                              <w:r w:rsidR="001616D0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D5CF4" id="_x0000_s1029" type="#_x0000_t202" style="position:absolute;margin-left:217.65pt;margin-top:43.4pt;width:74.3pt;height:4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" filled="f" stroked="f" strokeweight=".5pt">
                <v:textbox>
                  <w:txbxContent>
                    <w:p w14:paraId="569E5FBD" w14:textId="77777777" w:rsidR="001616D0" w:rsidRDefault="001616D0" w:rsidP="001616D0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9469038" wp14:editId="031790CF">
                            <wp:extent cx="731520" cy="201168"/>
                            <wp:effectExtent l="0" t="0" r="0" b="2540"/>
                            <wp:docPr id="355778723" name="Picture 3557787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CBB259" w14:textId="77777777" w:rsidR="001616D0" w:rsidRPr="002D183E" w:rsidRDefault="00000000" w:rsidP="001616D0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4">
                        <w:r w:rsidR="001616D0"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641D2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BBB70" wp14:editId="429DAA45">
                <wp:simplePos x="0" y="0"/>
                <wp:positionH relativeFrom="column">
                  <wp:posOffset>2870200</wp:posOffset>
                </wp:positionH>
                <wp:positionV relativeFrom="paragraph">
                  <wp:posOffset>2704465</wp:posOffset>
                </wp:positionV>
                <wp:extent cx="1167765" cy="524510"/>
                <wp:effectExtent l="0" t="0" r="0" b="0"/>
                <wp:wrapNone/>
                <wp:docPr id="18990667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2FAF7" w14:textId="77777777" w:rsidR="003641D2" w:rsidRDefault="003641D2" w:rsidP="003641D2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6810F2" wp14:editId="6E5F1B9B">
                                  <wp:extent cx="731520" cy="201168"/>
                                  <wp:effectExtent l="0" t="0" r="0" b="2540"/>
                                  <wp:docPr id="1334423277" name="Picture 13344232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2D9C1" w14:textId="77777777" w:rsidR="003641D2" w:rsidRPr="002D183E" w:rsidRDefault="00000000" w:rsidP="003641D2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15">
                              <w:r w:rsidR="003641D2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BB70" id="_x0000_s1030" type="#_x0000_t202" style="position:absolute;margin-left:226pt;margin-top:212.95pt;width:91.95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fEb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P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" filled="f" stroked="f" strokeweight=".5pt">
                <v:textbox>
                  <w:txbxContent>
                    <w:p w14:paraId="7AF2FAF7" w14:textId="77777777" w:rsidR="003641D2" w:rsidRDefault="003641D2" w:rsidP="003641D2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776810F2" wp14:editId="6E5F1B9B">
                            <wp:extent cx="731520" cy="201168"/>
                            <wp:effectExtent l="0" t="0" r="0" b="2540"/>
                            <wp:docPr id="1334423277" name="Picture 133442327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2D9C1" w14:textId="77777777" w:rsidR="003641D2" w:rsidRPr="002D183E" w:rsidRDefault="003641D2" w:rsidP="003641D2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6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64925" w:rsidRPr="00C64925">
        <w:br w:type="page"/>
      </w:r>
      <w:r w:rsidR="000E055E" w:rsidRPr="00FA37C6">
        <w:rPr>
          <w:rFonts w:ascii="IBM Plex Sans" w:hAnsi="IBM Plex Sans"/>
          <w:noProof/>
          <w:color w:val="002060"/>
        </w:rPr>
        <w:lastRenderedPageBreak/>
        <w:drawing>
          <wp:anchor distT="0" distB="0" distL="114300" distR="114300" simplePos="0" relativeHeight="251664384" behindDoc="0" locked="0" layoutInCell="1" allowOverlap="1" wp14:anchorId="3AE33B95" wp14:editId="0DD5BEB9">
            <wp:simplePos x="0" y="0"/>
            <wp:positionH relativeFrom="column">
              <wp:posOffset>-514350</wp:posOffset>
            </wp:positionH>
            <wp:positionV relativeFrom="page">
              <wp:posOffset>10510</wp:posOffset>
            </wp:positionV>
            <wp:extent cx="7537450" cy="10710042"/>
            <wp:effectExtent l="0" t="0" r="0" b="0"/>
            <wp:wrapNone/>
            <wp:docPr id="1830876527" name="Picture 1" descr="A screenshot of a cellphone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545" cy="10711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110" w:rsidRPr="00C64925" w:rsidSect="001616D0">
      <w:pgSz w:w="11906" w:h="16838"/>
      <w:pgMar w:top="706" w:right="720" w:bottom="488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10"/>
    <w:rsid w:val="000E055E"/>
    <w:rsid w:val="001616D0"/>
    <w:rsid w:val="003641D2"/>
    <w:rsid w:val="00396C49"/>
    <w:rsid w:val="0051663C"/>
    <w:rsid w:val="00654836"/>
    <w:rsid w:val="007A6726"/>
    <w:rsid w:val="00825F67"/>
    <w:rsid w:val="00B8733A"/>
    <w:rsid w:val="00C64925"/>
    <w:rsid w:val="00DB3BA4"/>
    <w:rsid w:val="00ED7ED0"/>
    <w:rsid w:val="00E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F9F1"/>
  <w15:docId w15:val="{D0BDB0C0-0816-4248-929C-45DFD93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</w:r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hyperlink" Target="https://www.aihr.com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hyperlink" Target="https://www.aihr.com/" TargetMode="External"/><Relationship Id="rId17" Type="http://schemas.openxmlformats.org/officeDocument/2006/relationships/hyperlink" Target="https://www.aihr.com/platform/?utm_source=resource&amp;utm_medium=resource&amp;utm_campaign=templates&amp;utm_content=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ih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hr.com/" TargetMode="External"/><Relationship Id="rId11" Type="http://schemas.openxmlformats.org/officeDocument/2006/relationships/hyperlink" Target="https://www.aihr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ihr.com/" TargetMode="External"/><Relationship Id="rId10" Type="http://schemas.openxmlformats.org/officeDocument/2006/relationships/hyperlink" Target="https://www.aih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Relationship Id="rId14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FVnrppC+lk5K3VnXQTnjQn2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zIJaWQuZ2pkZ3hzMgppZC4zMGowemxsMgppZC4xZm9iOXRlMgppZC4zem55c2g3MgppZC4yZXQ5MnAwMglpZC50eWpjd3Q4AHIhMW9BeFh4Q3BiWTBoa3I2YXJlZERHbnRMTEV0N3JJZ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Garcia</cp:lastModifiedBy>
  <cp:revision>9</cp:revision>
  <dcterms:created xsi:type="dcterms:W3CDTF">2025-05-21T10:18:00Z</dcterms:created>
  <dcterms:modified xsi:type="dcterms:W3CDTF">2025-05-21T13:22:00Z</dcterms:modified>
</cp:coreProperties>
</file>