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56F1" w14:textId="77777777" w:rsidR="00DC5E85" w:rsidRPr="000F36C2" w:rsidRDefault="00DC5E85" w:rsidP="00E825EF">
      <w:pPr>
        <w:pStyle w:val="NormalWeb"/>
        <w:spacing w:before="0" w:beforeAutospacing="0" w:after="0" w:afterAutospacing="0"/>
        <w:rPr>
          <w:rFonts w:ascii="IBM Plex Sans Text" w:hAnsi="IBM Plex Sans Text" w:cs="Calibri"/>
          <w:color w:val="000000" w:themeColor="text1"/>
          <w:sz w:val="22"/>
          <w:szCs w:val="22"/>
          <w:lang w:val="en-US"/>
        </w:rPr>
      </w:pPr>
    </w:p>
    <w:p w14:paraId="0CDBFD76" w14:textId="4FC41494" w:rsidR="00DC5E85" w:rsidRPr="000F36C2" w:rsidRDefault="0019657F" w:rsidP="00DC5E85">
      <w:pPr>
        <w:spacing w:after="120"/>
        <w:jc w:val="center"/>
        <w:rPr>
          <w:rFonts w:ascii="IBM Plex Sans Text" w:hAnsi="IBM Plex Sans Text" w:cs="Calibri"/>
          <w:b/>
          <w:bCs/>
          <w:color w:val="30206B"/>
          <w:sz w:val="48"/>
          <w:szCs w:val="48"/>
          <w:lang w:val="en-US"/>
        </w:rPr>
      </w:pPr>
      <w:r w:rsidRPr="000F36C2">
        <w:rPr>
          <w:rFonts w:ascii="IBM Plex Sans Text" w:hAnsi="IBM Plex Sans Text" w:cs="Calibri"/>
          <w:b/>
          <w:bCs/>
          <w:color w:val="30206B"/>
          <w:sz w:val="48"/>
          <w:szCs w:val="48"/>
          <w:lang w:val="en-US"/>
        </w:rPr>
        <w:t>Bereavement Leave Policy</w:t>
      </w:r>
    </w:p>
    <w:p w14:paraId="49587A4A" w14:textId="4F9D29C1" w:rsidR="00E9520F" w:rsidRPr="000F36C2" w:rsidRDefault="00DC5E85" w:rsidP="0019657F">
      <w:pPr>
        <w:spacing w:after="120"/>
        <w:jc w:val="center"/>
        <w:rPr>
          <w:rFonts w:ascii="IBM Plex Sans Text" w:hAnsi="IBM Plex Sans Text" w:cs="Calibri"/>
          <w:b/>
          <w:bCs/>
          <w:color w:val="30206B"/>
          <w:sz w:val="40"/>
          <w:szCs w:val="40"/>
          <w:lang w:val="en-US"/>
        </w:rPr>
      </w:pPr>
      <w:r w:rsidRPr="000F36C2">
        <w:rPr>
          <w:rFonts w:ascii="IBM Plex Sans Text" w:hAnsi="IBM Plex Sans Text" w:cs="Calibri"/>
          <w:b/>
          <w:bCs/>
          <w:color w:val="30206B"/>
          <w:sz w:val="40"/>
          <w:szCs w:val="40"/>
          <w:lang w:val="en-US"/>
        </w:rPr>
        <w:t>[</w:t>
      </w:r>
      <w:r w:rsidR="0019657F" w:rsidRPr="000F36C2">
        <w:rPr>
          <w:rFonts w:ascii="IBM Plex Sans Text" w:hAnsi="IBM Plex Sans Text" w:cs="Calibri"/>
          <w:b/>
          <w:bCs/>
          <w:color w:val="30206B"/>
          <w:sz w:val="40"/>
          <w:szCs w:val="40"/>
          <w:lang w:val="en-US"/>
        </w:rPr>
        <w:t>Company</w:t>
      </w:r>
      <w:r w:rsidRPr="000F36C2">
        <w:rPr>
          <w:rFonts w:ascii="IBM Plex Sans Text" w:hAnsi="IBM Plex Sans Text" w:cs="Calibri"/>
          <w:b/>
          <w:bCs/>
          <w:color w:val="30206B"/>
          <w:sz w:val="40"/>
          <w:szCs w:val="40"/>
          <w:lang w:val="en-US"/>
        </w:rPr>
        <w:t xml:space="preserve"> </w:t>
      </w:r>
      <w:r w:rsidR="0019657F" w:rsidRPr="000F36C2">
        <w:rPr>
          <w:rFonts w:ascii="IBM Plex Sans Text" w:hAnsi="IBM Plex Sans Text" w:cs="Calibri"/>
          <w:b/>
          <w:bCs/>
          <w:color w:val="30206B"/>
          <w:sz w:val="40"/>
          <w:szCs w:val="40"/>
          <w:lang w:val="en-US"/>
        </w:rPr>
        <w:t>n</w:t>
      </w:r>
      <w:r w:rsidRPr="000F36C2">
        <w:rPr>
          <w:rFonts w:ascii="IBM Plex Sans Text" w:hAnsi="IBM Plex Sans Text" w:cs="Calibri"/>
          <w:b/>
          <w:bCs/>
          <w:color w:val="30206B"/>
          <w:sz w:val="40"/>
          <w:szCs w:val="40"/>
          <w:lang w:val="en-US"/>
        </w:rPr>
        <w:t>ame]</w:t>
      </w:r>
      <w:r w:rsidR="0019657F" w:rsidRPr="000F36C2">
        <w:rPr>
          <w:rFonts w:ascii="IBM Plex Sans Text" w:hAnsi="IBM Plex Sans Text" w:cs="Calibri"/>
          <w:b/>
          <w:bCs/>
          <w:color w:val="30206B"/>
          <w:sz w:val="40"/>
          <w:szCs w:val="40"/>
          <w:lang w:val="en-US"/>
        </w:rPr>
        <w:br/>
      </w:r>
    </w:p>
    <w:p w14:paraId="5D579839" w14:textId="1321340F" w:rsidR="00077885" w:rsidRPr="000F36C2" w:rsidRDefault="0019657F" w:rsidP="003F7B21">
      <w:pPr>
        <w:pStyle w:val="Heading2"/>
        <w:shd w:val="clear" w:color="auto" w:fill="D0F5FF"/>
        <w:tabs>
          <w:tab w:val="left" w:pos="3969"/>
        </w:tabs>
        <w:rPr>
          <w:rFonts w:ascii="IBM Plex Sans Text" w:hAnsi="IBM Plex Sans Text"/>
          <w:sz w:val="28"/>
          <w:szCs w:val="28"/>
          <w:lang w:val="en-US"/>
        </w:rPr>
      </w:pPr>
      <w:r w:rsidRPr="000F36C2">
        <w:rPr>
          <w:rFonts w:ascii="IBM Plex Sans Text" w:hAnsi="IBM Plex Sans Text"/>
          <w:sz w:val="28"/>
          <w:szCs w:val="28"/>
          <w:lang w:val="en-US"/>
        </w:rPr>
        <w:t>Purpose of the policy</w:t>
      </w:r>
    </w:p>
    <w:p w14:paraId="5D1CC8C2" w14:textId="5E91DE28" w:rsidR="007B5282" w:rsidRPr="000F36C2" w:rsidRDefault="0019657F" w:rsidP="009F79CF">
      <w:pPr>
        <w:pStyle w:val="NormalWeb"/>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[Company name] understands that the loss of a loved one is a significant and distressing event. Our bereavement policy is designed to provide support and necessary time off for employees to grieve, attend funeral services, and manage any affairs related to the bereavement.</w:t>
      </w:r>
      <w:r w:rsidR="0046329A" w:rsidRPr="000F36C2">
        <w:rPr>
          <w:rFonts w:ascii="IBM Plex Sans Text" w:hAnsi="IBM Plex Sans Text" w:cs="Calibri"/>
          <w:color w:val="000000" w:themeColor="text1"/>
          <w:sz w:val="22"/>
          <w:szCs w:val="22"/>
          <w:lang w:val="en-US"/>
        </w:rPr>
        <w:br/>
      </w:r>
    </w:p>
    <w:p w14:paraId="143F1958" w14:textId="6503D1BB" w:rsidR="00077885" w:rsidRPr="000F36C2" w:rsidRDefault="0019657F" w:rsidP="00077885">
      <w:pPr>
        <w:pStyle w:val="Heading2"/>
        <w:shd w:val="clear" w:color="auto" w:fill="D0F5FF"/>
        <w:rPr>
          <w:rFonts w:ascii="IBM Plex Sans Text" w:hAnsi="IBM Plex Sans Text"/>
          <w:sz w:val="28"/>
          <w:szCs w:val="28"/>
          <w:lang w:val="en-US"/>
        </w:rPr>
      </w:pPr>
      <w:r w:rsidRPr="000F36C2">
        <w:rPr>
          <w:rFonts w:ascii="IBM Plex Sans Text" w:hAnsi="IBM Plex Sans Text"/>
          <w:sz w:val="28"/>
          <w:szCs w:val="28"/>
          <w:lang w:val="en-US"/>
        </w:rPr>
        <w:t>Paid bereavement leave</w:t>
      </w:r>
      <w:r w:rsidR="00077885" w:rsidRPr="000F36C2">
        <w:rPr>
          <w:rFonts w:ascii="IBM Plex Sans Text" w:hAnsi="IBM Plex Sans Text"/>
          <w:sz w:val="28"/>
          <w:szCs w:val="28"/>
          <w:lang w:val="en-US"/>
        </w:rPr>
        <w:t xml:space="preserve"> </w:t>
      </w:r>
    </w:p>
    <w:p w14:paraId="72E24F88" w14:textId="089A2F53" w:rsidR="0019657F" w:rsidRPr="000F36C2" w:rsidRDefault="00B17EFC" w:rsidP="009F79CF">
      <w:pPr>
        <w:pStyle w:val="NormalWeb"/>
        <w:rPr>
          <w:rFonts w:ascii="IBM Plex Sans Text" w:hAnsi="IBM Plex Sans Text" w:cs="Calibri"/>
          <w:color w:val="000000" w:themeColor="text1"/>
          <w:sz w:val="22"/>
          <w:szCs w:val="22"/>
          <w:lang w:val="en-US"/>
        </w:rPr>
      </w:pPr>
      <w:r>
        <w:rPr>
          <w:rFonts w:ascii="IBM Plex Sans Text" w:hAnsi="IBM Plex Sans Text" w:cs="Calibri"/>
          <w:color w:val="000000" w:themeColor="text1"/>
          <w:sz w:val="22"/>
          <w:szCs w:val="22"/>
          <w:lang w:val="en-US"/>
        </w:rPr>
        <w:t>The</w:t>
      </w:r>
      <w:r w:rsidR="0019657F" w:rsidRPr="000F36C2">
        <w:rPr>
          <w:rFonts w:ascii="IBM Plex Sans Text" w:hAnsi="IBM Plex Sans Text" w:cs="Calibri"/>
          <w:color w:val="000000" w:themeColor="text1"/>
          <w:sz w:val="22"/>
          <w:szCs w:val="22"/>
          <w:lang w:val="en-US"/>
        </w:rPr>
        <w:t xml:space="preserve"> following guidelines are intended to provide a framework for the minimum paid bereavement leave entitlements:</w:t>
      </w:r>
    </w:p>
    <w:p w14:paraId="2478A7F3" w14:textId="77777777" w:rsidR="0019657F" w:rsidRPr="000F36C2" w:rsidRDefault="0019657F" w:rsidP="0019657F">
      <w:pPr>
        <w:pStyle w:val="NormalWeb"/>
        <w:numPr>
          <w:ilvl w:val="0"/>
          <w:numId w:val="8"/>
        </w:numPr>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Full-time employees are eligible for paid bereavement leave.</w:t>
      </w:r>
    </w:p>
    <w:p w14:paraId="53E54E68" w14:textId="37324B38" w:rsidR="0019657F" w:rsidRPr="000F36C2" w:rsidRDefault="0019657F" w:rsidP="0019657F">
      <w:pPr>
        <w:pStyle w:val="NormalWeb"/>
        <w:numPr>
          <w:ilvl w:val="0"/>
          <w:numId w:val="8"/>
        </w:numPr>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 xml:space="preserve">The standard bereavement leave shall be </w:t>
      </w:r>
      <w:r w:rsidR="00E01AB0" w:rsidRPr="00B17EFC">
        <w:rPr>
          <w:rFonts w:ascii="IBM Plex Sans Text" w:hAnsi="IBM Plex Sans Text" w:cs="Calibri"/>
          <w:b/>
          <w:bCs/>
          <w:color w:val="000000" w:themeColor="text1"/>
          <w:sz w:val="22"/>
          <w:szCs w:val="22"/>
          <w:lang w:val="en-US"/>
        </w:rPr>
        <w:t>[number]</w:t>
      </w:r>
      <w:r w:rsidRPr="000F36C2">
        <w:rPr>
          <w:rFonts w:ascii="IBM Plex Sans Text" w:hAnsi="IBM Plex Sans Text" w:cs="Calibri"/>
          <w:color w:val="000000" w:themeColor="text1"/>
          <w:sz w:val="22"/>
          <w:szCs w:val="22"/>
          <w:lang w:val="en-US"/>
        </w:rPr>
        <w:t xml:space="preserve"> working days in the event of the death of an immediate family member and </w:t>
      </w:r>
      <w:r w:rsidR="00E01AB0" w:rsidRPr="00B17EFC">
        <w:rPr>
          <w:rFonts w:ascii="IBM Plex Sans Text" w:hAnsi="IBM Plex Sans Text" w:cs="Calibri"/>
          <w:b/>
          <w:bCs/>
          <w:color w:val="000000" w:themeColor="text1"/>
          <w:sz w:val="22"/>
          <w:szCs w:val="22"/>
          <w:lang w:val="en-US"/>
        </w:rPr>
        <w:t>[number]</w:t>
      </w:r>
      <w:r w:rsidRPr="000F36C2">
        <w:rPr>
          <w:rFonts w:ascii="IBM Plex Sans Text" w:hAnsi="IBM Plex Sans Text" w:cs="Calibri"/>
          <w:color w:val="000000" w:themeColor="text1"/>
          <w:sz w:val="22"/>
          <w:szCs w:val="22"/>
          <w:lang w:val="en-US"/>
        </w:rPr>
        <w:t xml:space="preserve"> working days in the event of a child’s death.</w:t>
      </w:r>
    </w:p>
    <w:p w14:paraId="53DB7389" w14:textId="24E3D814" w:rsidR="009F79CF" w:rsidRPr="000F36C2" w:rsidRDefault="0019657F" w:rsidP="0019657F">
      <w:pPr>
        <w:pStyle w:val="NormalWeb"/>
        <w:numPr>
          <w:ilvl w:val="0"/>
          <w:numId w:val="8"/>
        </w:numPr>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Bereavement leave for the loss of extended family members or non-dependents shall be granted on a case-by-case basis, considering the employee’s relationship with the deceased and any additional responsibilities, such as funeral arrangements.</w:t>
      </w:r>
      <w:r w:rsidR="0046329A" w:rsidRPr="000F36C2">
        <w:rPr>
          <w:rFonts w:ascii="IBM Plex Sans Text" w:hAnsi="IBM Plex Sans Text" w:cs="Calibri"/>
          <w:color w:val="000000" w:themeColor="text1"/>
          <w:sz w:val="22"/>
          <w:szCs w:val="22"/>
          <w:lang w:val="en-US"/>
        </w:rPr>
        <w:br/>
      </w:r>
    </w:p>
    <w:p w14:paraId="40B4CE98" w14:textId="6BDD0C82" w:rsidR="00077885" w:rsidRPr="000F36C2" w:rsidRDefault="0019657F" w:rsidP="00077885">
      <w:pPr>
        <w:pStyle w:val="Heading2"/>
        <w:shd w:val="clear" w:color="auto" w:fill="D0F5FF"/>
        <w:rPr>
          <w:rFonts w:ascii="IBM Plex Sans Text" w:hAnsi="IBM Plex Sans Text"/>
          <w:sz w:val="28"/>
          <w:szCs w:val="28"/>
          <w:lang w:val="en-US"/>
        </w:rPr>
      </w:pPr>
      <w:r w:rsidRPr="000F36C2">
        <w:rPr>
          <w:rFonts w:ascii="IBM Plex Sans Text" w:hAnsi="IBM Plex Sans Text"/>
          <w:sz w:val="28"/>
          <w:szCs w:val="28"/>
          <w:lang w:val="en-US"/>
        </w:rPr>
        <w:t xml:space="preserve">Eligibility and definition of a </w:t>
      </w:r>
      <w:r w:rsidR="002E5309" w:rsidRPr="000F36C2">
        <w:rPr>
          <w:rFonts w:ascii="IBM Plex Sans Text" w:hAnsi="IBM Plex Sans Text"/>
          <w:sz w:val="28"/>
          <w:szCs w:val="28"/>
          <w:lang w:val="en-US"/>
        </w:rPr>
        <w:t>dependent</w:t>
      </w:r>
      <w:r w:rsidRPr="000F36C2">
        <w:rPr>
          <w:rFonts w:ascii="IBM Plex Sans Text" w:hAnsi="IBM Plex Sans Text"/>
          <w:sz w:val="28"/>
          <w:szCs w:val="28"/>
          <w:lang w:val="en-US"/>
        </w:rPr>
        <w:t xml:space="preserve"> </w:t>
      </w:r>
    </w:p>
    <w:p w14:paraId="1FDBB44B" w14:textId="77777777" w:rsidR="000F36C2" w:rsidRPr="000F36C2" w:rsidRDefault="000F36C2" w:rsidP="007A5196">
      <w:pPr>
        <w:pStyle w:val="NormalWeb"/>
        <w:spacing w:after="0" w:afterAutospacing="0" w:line="480" w:lineRule="auto"/>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Eligible employees include those who have completed their probationary period.</w:t>
      </w:r>
    </w:p>
    <w:p w14:paraId="2B088C5C" w14:textId="1D997417" w:rsidR="007B5282" w:rsidRPr="000F36C2" w:rsidRDefault="000F36C2" w:rsidP="007A5196">
      <w:pPr>
        <w:pStyle w:val="NormalWeb"/>
        <w:spacing w:before="0" w:beforeAutospacing="0"/>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 xml:space="preserve">A </w:t>
      </w:r>
      <w:r w:rsidR="002E5309" w:rsidRPr="000F36C2">
        <w:rPr>
          <w:rFonts w:ascii="IBM Plex Sans Text" w:hAnsi="IBM Plex Sans Text" w:cs="Calibri"/>
          <w:color w:val="000000" w:themeColor="text1"/>
          <w:sz w:val="22"/>
          <w:szCs w:val="22"/>
          <w:lang w:val="en-US"/>
        </w:rPr>
        <w:t>dependent</w:t>
      </w:r>
      <w:r w:rsidRPr="000F36C2">
        <w:rPr>
          <w:rFonts w:ascii="IBM Plex Sans Text" w:hAnsi="IBM Plex Sans Text" w:cs="Calibri"/>
          <w:color w:val="000000" w:themeColor="text1"/>
          <w:sz w:val="22"/>
          <w:szCs w:val="22"/>
          <w:lang w:val="en-US"/>
        </w:rPr>
        <w:t xml:space="preserve"> is defined as an immediate family member, which includes, but is not limited to, a spouse, domestic partner, child, parent, or sibling.</w:t>
      </w:r>
      <w:r w:rsidR="0046329A" w:rsidRPr="000F36C2">
        <w:rPr>
          <w:rFonts w:ascii="IBM Plex Sans Text" w:hAnsi="IBM Plex Sans Text" w:cs="Calibri"/>
          <w:color w:val="000000" w:themeColor="text1"/>
          <w:sz w:val="22"/>
          <w:szCs w:val="22"/>
          <w:lang w:val="en-US"/>
        </w:rPr>
        <w:br/>
      </w:r>
    </w:p>
    <w:p w14:paraId="6F07C5EA" w14:textId="537D7CFE" w:rsidR="00077885" w:rsidRPr="00077885" w:rsidRDefault="000F36C2" w:rsidP="00077885">
      <w:pPr>
        <w:pStyle w:val="Heading2"/>
        <w:shd w:val="clear" w:color="auto" w:fill="D0F5FF"/>
        <w:rPr>
          <w:rFonts w:ascii="IBM Plex Sans Text" w:hAnsi="IBM Plex Sans Text"/>
          <w:sz w:val="28"/>
          <w:szCs w:val="28"/>
        </w:rPr>
      </w:pPr>
      <w:r w:rsidRPr="000F36C2">
        <w:rPr>
          <w:rFonts w:ascii="IBM Plex Sans Text" w:hAnsi="IBM Plex Sans Text"/>
          <w:sz w:val="28"/>
          <w:szCs w:val="28"/>
        </w:rPr>
        <w:t>Guidelines for non-depend</w:t>
      </w:r>
      <w:r w:rsidR="009013AA">
        <w:rPr>
          <w:rFonts w:ascii="IBM Plex Sans Text" w:hAnsi="IBM Plex Sans Text"/>
          <w:sz w:val="28"/>
          <w:szCs w:val="28"/>
        </w:rPr>
        <w:t>e</w:t>
      </w:r>
      <w:r w:rsidRPr="000F36C2">
        <w:rPr>
          <w:rFonts w:ascii="IBM Plex Sans Text" w:hAnsi="IBM Plex Sans Text"/>
          <w:sz w:val="28"/>
          <w:szCs w:val="28"/>
        </w:rPr>
        <w:t>nt bereavement leave</w:t>
      </w:r>
    </w:p>
    <w:p w14:paraId="72AC5A2B" w14:textId="35437570" w:rsidR="007B5282" w:rsidRPr="000F36C2" w:rsidRDefault="000F36C2" w:rsidP="007A5196">
      <w:pPr>
        <w:pStyle w:val="NormalWeb"/>
        <w:spacing w:after="0" w:afterAutospacing="0"/>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In the event of the death of a non-</w:t>
      </w:r>
      <w:r w:rsidR="002E5309" w:rsidRPr="000F36C2">
        <w:rPr>
          <w:rFonts w:ascii="IBM Plex Sans Text" w:hAnsi="IBM Plex Sans Text" w:cs="Calibri"/>
          <w:color w:val="000000" w:themeColor="text1"/>
          <w:sz w:val="22"/>
          <w:szCs w:val="22"/>
          <w:lang w:val="en-US"/>
        </w:rPr>
        <w:t>dependent</w:t>
      </w:r>
      <w:r w:rsidRPr="000F36C2">
        <w:rPr>
          <w:rFonts w:ascii="IBM Plex Sans Text" w:hAnsi="IBM Plex Sans Text" w:cs="Calibri"/>
          <w:color w:val="000000" w:themeColor="text1"/>
          <w:sz w:val="22"/>
          <w:szCs w:val="22"/>
          <w:lang w:val="en-US"/>
        </w:rPr>
        <w:t xml:space="preserve">, discretionary leave ranging from </w:t>
      </w:r>
      <w:r w:rsidR="00E01AB0" w:rsidRPr="00B17EFC">
        <w:rPr>
          <w:rFonts w:ascii="IBM Plex Sans Text" w:hAnsi="IBM Plex Sans Text" w:cs="Calibri"/>
          <w:b/>
          <w:bCs/>
          <w:color w:val="000000" w:themeColor="text1"/>
          <w:sz w:val="22"/>
          <w:szCs w:val="22"/>
          <w:lang w:val="en-US"/>
        </w:rPr>
        <w:t>[number]</w:t>
      </w:r>
      <w:r w:rsidRPr="000F36C2">
        <w:rPr>
          <w:rFonts w:ascii="IBM Plex Sans Text" w:hAnsi="IBM Plex Sans Text" w:cs="Calibri"/>
          <w:color w:val="000000" w:themeColor="text1"/>
          <w:sz w:val="22"/>
          <w:szCs w:val="22"/>
          <w:lang w:val="en-US"/>
        </w:rPr>
        <w:t xml:space="preserve"> to </w:t>
      </w:r>
      <w:r w:rsidR="00E01AB0" w:rsidRPr="00B17EFC">
        <w:rPr>
          <w:rFonts w:ascii="IBM Plex Sans Text" w:hAnsi="IBM Plex Sans Text" w:cs="Calibri"/>
          <w:b/>
          <w:bCs/>
          <w:color w:val="000000" w:themeColor="text1"/>
          <w:sz w:val="22"/>
          <w:szCs w:val="22"/>
          <w:lang w:val="en-US"/>
        </w:rPr>
        <w:t>[number]</w:t>
      </w:r>
      <w:r w:rsidRPr="000F36C2">
        <w:rPr>
          <w:rFonts w:ascii="IBM Plex Sans Text" w:hAnsi="IBM Plex Sans Text" w:cs="Calibri"/>
          <w:color w:val="000000" w:themeColor="text1"/>
          <w:sz w:val="22"/>
          <w:szCs w:val="22"/>
          <w:lang w:val="en-US"/>
        </w:rPr>
        <w:t xml:space="preserve"> days may be granted.</w:t>
      </w:r>
      <w:r w:rsidR="007A5196">
        <w:rPr>
          <w:rFonts w:ascii="IBM Plex Sans Text" w:hAnsi="IBM Plex Sans Text" w:cs="Calibri"/>
          <w:color w:val="000000" w:themeColor="text1"/>
          <w:sz w:val="22"/>
          <w:szCs w:val="22"/>
          <w:lang w:val="en-US"/>
        </w:rPr>
        <w:br/>
      </w:r>
      <w:r w:rsidR="007A5196">
        <w:rPr>
          <w:rFonts w:ascii="IBM Plex Sans Text" w:hAnsi="IBM Plex Sans Text" w:cs="Calibri"/>
          <w:color w:val="000000" w:themeColor="text1"/>
          <w:sz w:val="22"/>
          <w:szCs w:val="22"/>
          <w:lang w:val="en-US"/>
        </w:rPr>
        <w:br/>
      </w:r>
      <w:r w:rsidRPr="000F36C2">
        <w:rPr>
          <w:rFonts w:ascii="IBM Plex Sans Text" w:hAnsi="IBM Plex Sans Text" w:cs="Calibri"/>
          <w:color w:val="000000" w:themeColor="text1"/>
          <w:sz w:val="22"/>
          <w:szCs w:val="22"/>
          <w:lang w:val="en-US"/>
        </w:rPr>
        <w:t>A non-</w:t>
      </w:r>
      <w:r w:rsidR="002E5309" w:rsidRPr="000F36C2">
        <w:rPr>
          <w:rFonts w:ascii="IBM Plex Sans Text" w:hAnsi="IBM Plex Sans Text" w:cs="Calibri"/>
          <w:color w:val="000000" w:themeColor="text1"/>
          <w:sz w:val="22"/>
          <w:szCs w:val="22"/>
          <w:lang w:val="en-US"/>
        </w:rPr>
        <w:t>dependent</w:t>
      </w:r>
      <w:r w:rsidRPr="000F36C2">
        <w:rPr>
          <w:rFonts w:ascii="IBM Plex Sans Text" w:hAnsi="IBM Plex Sans Text" w:cs="Calibri"/>
          <w:color w:val="000000" w:themeColor="text1"/>
          <w:sz w:val="22"/>
          <w:szCs w:val="22"/>
          <w:lang w:val="en-US"/>
        </w:rPr>
        <w:t xml:space="preserve"> is defined as an extended family member, which includes, but is not limited to, a cousin, aunt or uncle, or niece or nephew, as well as close friends or family friends.</w:t>
      </w:r>
      <w:r w:rsidR="0046329A" w:rsidRPr="000F36C2">
        <w:rPr>
          <w:rFonts w:ascii="IBM Plex Sans Text" w:hAnsi="IBM Plex Sans Text" w:cs="Calibri"/>
          <w:color w:val="000000" w:themeColor="text1"/>
          <w:sz w:val="22"/>
          <w:szCs w:val="22"/>
          <w:lang w:val="en-US"/>
        </w:rPr>
        <w:br/>
      </w:r>
    </w:p>
    <w:p w14:paraId="5042FF29" w14:textId="7E5A71D6" w:rsidR="00077885" w:rsidRPr="00077885" w:rsidRDefault="000F36C2" w:rsidP="00077885">
      <w:pPr>
        <w:pStyle w:val="Heading2"/>
        <w:shd w:val="clear" w:color="auto" w:fill="D0F5FF"/>
        <w:rPr>
          <w:rFonts w:ascii="IBM Plex Sans Text" w:hAnsi="IBM Plex Sans Text"/>
          <w:sz w:val="28"/>
          <w:szCs w:val="28"/>
        </w:rPr>
      </w:pPr>
      <w:r w:rsidRPr="000F36C2">
        <w:rPr>
          <w:rFonts w:ascii="IBM Plex Sans Text" w:hAnsi="IBM Plex Sans Text"/>
          <w:sz w:val="28"/>
          <w:szCs w:val="28"/>
        </w:rPr>
        <w:t>Notification process</w:t>
      </w:r>
    </w:p>
    <w:p w14:paraId="25C03925" w14:textId="219B9A50" w:rsidR="007E180D" w:rsidRDefault="000F36C2" w:rsidP="007A5196">
      <w:pPr>
        <w:pStyle w:val="NormalWeb"/>
        <w:spacing w:after="240" w:afterAutospacing="0" w:line="276" w:lineRule="auto"/>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Employees must notify their direct supervisor about their need for bereavement leave</w:t>
      </w:r>
      <w:r w:rsidR="00A5370D">
        <w:rPr>
          <w:rFonts w:ascii="IBM Plex Sans Text" w:hAnsi="IBM Plex Sans Text" w:cs="Calibri"/>
          <w:color w:val="000000" w:themeColor="text1"/>
          <w:sz w:val="22"/>
          <w:szCs w:val="22"/>
          <w:lang w:val="en-US"/>
        </w:rPr>
        <w:t xml:space="preserve"> </w:t>
      </w:r>
      <w:r w:rsidR="00A5370D" w:rsidRPr="000F36C2">
        <w:rPr>
          <w:rFonts w:ascii="IBM Plex Sans Text" w:hAnsi="IBM Plex Sans Text" w:cs="Calibri"/>
          <w:color w:val="000000" w:themeColor="text1"/>
          <w:sz w:val="22"/>
          <w:szCs w:val="22"/>
          <w:lang w:val="en-US"/>
        </w:rPr>
        <w:t>as soon as possible</w:t>
      </w:r>
      <w:r w:rsidRPr="000F36C2">
        <w:rPr>
          <w:rFonts w:ascii="IBM Plex Sans Text" w:hAnsi="IBM Plex Sans Text" w:cs="Calibri"/>
          <w:color w:val="000000" w:themeColor="text1"/>
          <w:sz w:val="22"/>
          <w:szCs w:val="22"/>
          <w:lang w:val="en-US"/>
        </w:rPr>
        <w:t>.</w:t>
      </w:r>
      <w:r w:rsidR="007A5196">
        <w:rPr>
          <w:rFonts w:ascii="IBM Plex Sans Text" w:hAnsi="IBM Plex Sans Text" w:cs="Calibri"/>
          <w:color w:val="000000" w:themeColor="text1"/>
          <w:sz w:val="22"/>
          <w:szCs w:val="22"/>
          <w:lang w:val="en-US"/>
        </w:rPr>
        <w:t xml:space="preserve"> </w:t>
      </w:r>
      <w:r w:rsidRPr="000F36C2">
        <w:rPr>
          <w:rFonts w:ascii="IBM Plex Sans Text" w:hAnsi="IBM Plex Sans Text" w:cs="Calibri"/>
          <w:color w:val="000000" w:themeColor="text1"/>
          <w:sz w:val="22"/>
          <w:szCs w:val="22"/>
          <w:lang w:val="en-US"/>
        </w:rPr>
        <w:t>Documentation such as a death certificate may be requested to process the leave.</w:t>
      </w:r>
      <w:r w:rsidR="0046329A" w:rsidRPr="000F36C2">
        <w:rPr>
          <w:rFonts w:ascii="IBM Plex Sans Text" w:hAnsi="IBM Plex Sans Text" w:cs="Calibri"/>
          <w:color w:val="000000" w:themeColor="text1"/>
          <w:sz w:val="22"/>
          <w:szCs w:val="22"/>
          <w:lang w:val="en-US"/>
        </w:rPr>
        <w:br/>
      </w:r>
      <w:r w:rsidR="0046329A" w:rsidRPr="000F36C2">
        <w:rPr>
          <w:rFonts w:ascii="IBM Plex Sans Text" w:hAnsi="IBM Plex Sans Text" w:cs="Calibri"/>
          <w:color w:val="000000" w:themeColor="text1"/>
          <w:sz w:val="22"/>
          <w:szCs w:val="22"/>
          <w:lang w:val="en-US"/>
        </w:rPr>
        <w:br/>
      </w:r>
    </w:p>
    <w:p w14:paraId="6F6F771A" w14:textId="77777777" w:rsidR="007A5196" w:rsidRPr="00077885" w:rsidRDefault="007A5196" w:rsidP="007A5196">
      <w:pPr>
        <w:pStyle w:val="NormalWeb"/>
        <w:spacing w:after="240" w:afterAutospacing="0" w:line="276" w:lineRule="auto"/>
        <w:rPr>
          <w:rFonts w:ascii="IBM Plex Sans Text" w:hAnsi="IBM Plex Sans Text" w:cs="Calibri"/>
          <w:color w:val="000000" w:themeColor="text1"/>
          <w:sz w:val="22"/>
          <w:szCs w:val="22"/>
          <w:lang w:val="en-US"/>
        </w:rPr>
      </w:pPr>
    </w:p>
    <w:p w14:paraId="65CB64C2" w14:textId="41B81A2D" w:rsidR="00FC61FA" w:rsidRPr="00FC61FA" w:rsidRDefault="000F36C2" w:rsidP="00FC61FA">
      <w:pPr>
        <w:pStyle w:val="Heading2"/>
        <w:shd w:val="clear" w:color="auto" w:fill="D0F5FF"/>
        <w:rPr>
          <w:rFonts w:ascii="IBM Plex Sans Text" w:hAnsi="IBM Plex Sans Text"/>
          <w:sz w:val="28"/>
          <w:szCs w:val="28"/>
        </w:rPr>
      </w:pPr>
      <w:r>
        <w:rPr>
          <w:rFonts w:ascii="IBM Plex Sans Text" w:hAnsi="IBM Plex Sans Text"/>
          <w:sz w:val="28"/>
          <w:szCs w:val="28"/>
        </w:rPr>
        <w:t>Additional leave options</w:t>
      </w:r>
    </w:p>
    <w:p w14:paraId="6A2703EE" w14:textId="13B558CD" w:rsidR="00116C65" w:rsidRPr="000F36C2" w:rsidRDefault="000F36C2" w:rsidP="007A5196">
      <w:pPr>
        <w:pStyle w:val="NormalWeb"/>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Employees may utilize their annual leave entitlements in conjunction with bereavement leave.</w:t>
      </w:r>
      <w:r w:rsidR="007A5196">
        <w:rPr>
          <w:rFonts w:ascii="IBM Plex Sans Text" w:hAnsi="IBM Plex Sans Text" w:cs="Calibri"/>
          <w:color w:val="000000" w:themeColor="text1"/>
          <w:sz w:val="22"/>
          <w:szCs w:val="22"/>
          <w:lang w:val="en-US"/>
        </w:rPr>
        <w:br/>
      </w:r>
      <w:r w:rsidR="007A5196">
        <w:rPr>
          <w:rFonts w:ascii="IBM Plex Sans Text" w:hAnsi="IBM Plex Sans Text" w:cs="Calibri"/>
          <w:color w:val="000000" w:themeColor="text1"/>
          <w:sz w:val="22"/>
          <w:szCs w:val="22"/>
          <w:lang w:val="en-US"/>
        </w:rPr>
        <w:br/>
      </w:r>
      <w:r w:rsidRPr="000F36C2">
        <w:rPr>
          <w:rFonts w:ascii="IBM Plex Sans Text" w:hAnsi="IBM Plex Sans Text" w:cs="Calibri"/>
          <w:color w:val="000000" w:themeColor="text1"/>
          <w:sz w:val="22"/>
          <w:szCs w:val="22"/>
          <w:lang w:val="en-US"/>
        </w:rPr>
        <w:t>Unpaid leave may also be available for extended periods of bereavement, subject to managerial approval.</w:t>
      </w:r>
      <w:r w:rsidR="00116C65">
        <w:rPr>
          <w:rFonts w:ascii="IBM Plex Sans Text" w:hAnsi="IBM Plex Sans Text" w:cs="Calibri"/>
          <w:color w:val="000000" w:themeColor="text1"/>
          <w:sz w:val="22"/>
          <w:szCs w:val="22"/>
          <w:lang w:val="en-US"/>
        </w:rPr>
        <w:br/>
      </w:r>
    </w:p>
    <w:p w14:paraId="2AFEC824" w14:textId="27226B12" w:rsidR="00077885" w:rsidRPr="00077885" w:rsidRDefault="000F36C2" w:rsidP="00077885">
      <w:pPr>
        <w:pStyle w:val="Heading2"/>
        <w:shd w:val="clear" w:color="auto" w:fill="D0F5FF"/>
        <w:rPr>
          <w:rFonts w:ascii="IBM Plex Sans Text" w:hAnsi="IBM Plex Sans Text"/>
          <w:sz w:val="28"/>
          <w:szCs w:val="28"/>
        </w:rPr>
      </w:pPr>
      <w:r>
        <w:rPr>
          <w:rFonts w:ascii="IBM Plex Sans Text" w:hAnsi="IBM Plex Sans Text"/>
          <w:sz w:val="28"/>
          <w:szCs w:val="28"/>
        </w:rPr>
        <w:t>Parental bereavement leave</w:t>
      </w:r>
    </w:p>
    <w:p w14:paraId="1F3A39D1" w14:textId="02A101A0" w:rsidR="00077885" w:rsidRPr="002E5309" w:rsidRDefault="002E5309" w:rsidP="007A5196">
      <w:pPr>
        <w:pStyle w:val="NormalWeb"/>
        <w:spacing w:line="360" w:lineRule="auto"/>
        <w:rPr>
          <w:rFonts w:ascii="IBM Plex Sans Text" w:hAnsi="IBM Plex Sans Text" w:cs="Calibri"/>
          <w:color w:val="000000" w:themeColor="text1"/>
          <w:sz w:val="22"/>
          <w:szCs w:val="22"/>
          <w:lang w:val="en-US"/>
        </w:rPr>
      </w:pPr>
      <w:r w:rsidRPr="002E5309">
        <w:rPr>
          <w:rFonts w:ascii="IBM Plex Sans Text" w:hAnsi="IBM Plex Sans Text" w:cs="Calibri"/>
          <w:color w:val="000000" w:themeColor="text1"/>
          <w:sz w:val="22"/>
          <w:szCs w:val="22"/>
          <w:lang w:val="en-US"/>
        </w:rPr>
        <w:t xml:space="preserve">Employees are entitled to </w:t>
      </w:r>
      <w:r w:rsidR="00E01AB0" w:rsidRPr="00B17EFC">
        <w:rPr>
          <w:rFonts w:ascii="IBM Plex Sans Text" w:hAnsi="IBM Plex Sans Text" w:cs="Calibri"/>
          <w:b/>
          <w:bCs/>
          <w:color w:val="000000" w:themeColor="text1"/>
          <w:sz w:val="22"/>
          <w:szCs w:val="22"/>
          <w:lang w:val="en-US"/>
        </w:rPr>
        <w:t>[number]</w:t>
      </w:r>
      <w:r w:rsidR="009013AA">
        <w:rPr>
          <w:rFonts w:ascii="IBM Plex Sans Text" w:hAnsi="IBM Plex Sans Text" w:cs="Calibri"/>
          <w:color w:val="000000" w:themeColor="text1"/>
          <w:sz w:val="22"/>
          <w:szCs w:val="22"/>
          <w:lang w:val="en-US"/>
        </w:rPr>
        <w:t xml:space="preserve"> working days</w:t>
      </w:r>
      <w:r w:rsidRPr="002E5309">
        <w:rPr>
          <w:rFonts w:ascii="IBM Plex Sans Text" w:hAnsi="IBM Plex Sans Text" w:cs="Calibri"/>
          <w:color w:val="000000" w:themeColor="text1"/>
          <w:sz w:val="22"/>
          <w:szCs w:val="22"/>
          <w:lang w:val="en-US"/>
        </w:rPr>
        <w:t xml:space="preserve"> of parental bereavement leave for the loss of a child.</w:t>
      </w:r>
      <w:r w:rsidR="007A5196">
        <w:rPr>
          <w:rFonts w:ascii="IBM Plex Sans Text" w:hAnsi="IBM Plex Sans Text" w:cs="Calibri"/>
          <w:color w:val="000000" w:themeColor="text1"/>
          <w:sz w:val="22"/>
          <w:szCs w:val="22"/>
          <w:lang w:val="en-US"/>
        </w:rPr>
        <w:br/>
      </w:r>
      <w:r w:rsidRPr="002E5309">
        <w:rPr>
          <w:rFonts w:ascii="IBM Plex Sans Text" w:hAnsi="IBM Plex Sans Text" w:cs="Calibri"/>
          <w:color w:val="000000" w:themeColor="text1"/>
          <w:sz w:val="22"/>
          <w:szCs w:val="22"/>
          <w:lang w:val="en-US"/>
        </w:rPr>
        <w:t xml:space="preserve">The leave can be taken in one block or as two separate weeks within </w:t>
      </w:r>
      <w:r w:rsidR="00E01AB0">
        <w:rPr>
          <w:rFonts w:ascii="IBM Plex Sans Text" w:hAnsi="IBM Plex Sans Text" w:cs="Calibri"/>
          <w:color w:val="000000" w:themeColor="text1"/>
          <w:sz w:val="22"/>
          <w:szCs w:val="22"/>
          <w:lang w:val="en-US"/>
        </w:rPr>
        <w:t>[number]</w:t>
      </w:r>
      <w:r w:rsidRPr="002E5309">
        <w:rPr>
          <w:rFonts w:ascii="IBM Plex Sans Text" w:hAnsi="IBM Plex Sans Text" w:cs="Calibri"/>
          <w:color w:val="000000" w:themeColor="text1"/>
          <w:sz w:val="22"/>
          <w:szCs w:val="22"/>
          <w:lang w:val="en-US"/>
        </w:rPr>
        <w:t xml:space="preserve"> weeks of the bereavement.</w:t>
      </w:r>
    </w:p>
    <w:p w14:paraId="76A125F6" w14:textId="6227B914" w:rsidR="00077885" w:rsidRPr="00077885" w:rsidRDefault="000F36C2" w:rsidP="00077885">
      <w:pPr>
        <w:pStyle w:val="Heading2"/>
        <w:shd w:val="clear" w:color="auto" w:fill="D0F5FF"/>
        <w:rPr>
          <w:rFonts w:ascii="IBM Plex Sans Text" w:hAnsi="IBM Plex Sans Text"/>
          <w:sz w:val="28"/>
          <w:szCs w:val="28"/>
        </w:rPr>
      </w:pPr>
      <w:r>
        <w:rPr>
          <w:rFonts w:ascii="IBM Plex Sans Text" w:hAnsi="IBM Plex Sans Text"/>
          <w:sz w:val="28"/>
          <w:szCs w:val="28"/>
        </w:rPr>
        <w:t>Miscarriage support</w:t>
      </w:r>
    </w:p>
    <w:p w14:paraId="26F79B93" w14:textId="6BC226AD" w:rsidR="00116C65" w:rsidRPr="0046329A" w:rsidRDefault="002E5309" w:rsidP="00E9520F">
      <w:pPr>
        <w:pStyle w:val="NormalWeb"/>
        <w:rPr>
          <w:rFonts w:ascii="IBM Plex Sans Text" w:hAnsi="IBM Plex Sans Text" w:cs="Calibri"/>
          <w:color w:val="000000" w:themeColor="text1"/>
          <w:sz w:val="22"/>
          <w:szCs w:val="22"/>
          <w:lang w:val="en-US"/>
        </w:rPr>
      </w:pPr>
      <w:r w:rsidRPr="002E5309">
        <w:rPr>
          <w:rFonts w:ascii="IBM Plex Sans Text" w:hAnsi="IBM Plex Sans Text" w:cs="Calibri"/>
          <w:color w:val="000000" w:themeColor="text1"/>
          <w:sz w:val="22"/>
          <w:szCs w:val="22"/>
          <w:lang w:val="en-US"/>
        </w:rPr>
        <w:t xml:space="preserve">Recognizing the emotional impact of a miscarriage, the company provides </w:t>
      </w:r>
      <w:r w:rsidR="00E01AB0" w:rsidRPr="00B17EFC">
        <w:rPr>
          <w:rFonts w:ascii="IBM Plex Sans Text" w:hAnsi="IBM Plex Sans Text" w:cs="Calibri"/>
          <w:b/>
          <w:bCs/>
          <w:color w:val="000000" w:themeColor="text1"/>
          <w:sz w:val="22"/>
          <w:szCs w:val="22"/>
          <w:lang w:val="en-US"/>
        </w:rPr>
        <w:t>[number]</w:t>
      </w:r>
      <w:r w:rsidRPr="002E5309">
        <w:rPr>
          <w:rFonts w:ascii="IBM Plex Sans Text" w:hAnsi="IBM Plex Sans Text" w:cs="Calibri"/>
          <w:color w:val="000000" w:themeColor="text1"/>
          <w:sz w:val="22"/>
          <w:szCs w:val="22"/>
          <w:lang w:val="en-US"/>
        </w:rPr>
        <w:t xml:space="preserve"> working days of special leave for such circumstances.</w:t>
      </w:r>
      <w:r w:rsidR="00116C65">
        <w:rPr>
          <w:rFonts w:ascii="IBM Plex Sans Text" w:hAnsi="IBM Plex Sans Text" w:cs="Calibri"/>
          <w:color w:val="000000" w:themeColor="text1"/>
          <w:sz w:val="22"/>
          <w:szCs w:val="22"/>
          <w:lang w:val="en-US"/>
        </w:rPr>
        <w:br/>
      </w:r>
    </w:p>
    <w:p w14:paraId="3FFEFFB2" w14:textId="31A0E136" w:rsidR="00DF2BF6" w:rsidRPr="00DF2BF6" w:rsidRDefault="000F36C2" w:rsidP="00116C65">
      <w:pPr>
        <w:pStyle w:val="Heading2"/>
        <w:shd w:val="clear" w:color="auto" w:fill="D0F5FF"/>
        <w:spacing w:before="0"/>
        <w:rPr>
          <w:rFonts w:ascii="IBM Plex Sans Text" w:hAnsi="IBM Plex Sans Text"/>
          <w:sz w:val="28"/>
          <w:szCs w:val="28"/>
        </w:rPr>
      </w:pPr>
      <w:r>
        <w:rPr>
          <w:rFonts w:ascii="IBM Plex Sans Text" w:hAnsi="IBM Plex Sans Text"/>
          <w:sz w:val="28"/>
          <w:szCs w:val="28"/>
        </w:rPr>
        <w:t>Transition back to work</w:t>
      </w:r>
    </w:p>
    <w:p w14:paraId="72CE727C" w14:textId="77777777" w:rsidR="000F36C2" w:rsidRDefault="000F36C2" w:rsidP="00E825EF">
      <w:pPr>
        <w:pStyle w:val="NormalWeb"/>
        <w:rPr>
          <w:rFonts w:ascii="IBM Plex Sans Text" w:hAnsi="IBM Plex Sans Text" w:cs="Calibri"/>
          <w:color w:val="000000" w:themeColor="text1"/>
          <w:sz w:val="22"/>
          <w:szCs w:val="22"/>
          <w:lang w:val="en-US"/>
        </w:rPr>
      </w:pPr>
      <w:r w:rsidRPr="00B17EFC">
        <w:rPr>
          <w:rFonts w:ascii="IBM Plex Sans Text" w:hAnsi="IBM Plex Sans Text" w:cs="Calibri"/>
          <w:b/>
          <w:bCs/>
          <w:color w:val="000000" w:themeColor="text1"/>
          <w:sz w:val="22"/>
          <w:szCs w:val="22"/>
          <w:lang w:val="en-US"/>
        </w:rPr>
        <w:t>[Company name]</w:t>
      </w:r>
      <w:r w:rsidRPr="000F36C2">
        <w:rPr>
          <w:rFonts w:ascii="IBM Plex Sans Text" w:hAnsi="IBM Plex Sans Text" w:cs="Calibri"/>
          <w:color w:val="000000" w:themeColor="text1"/>
          <w:sz w:val="22"/>
          <w:szCs w:val="22"/>
          <w:lang w:val="en-US"/>
        </w:rPr>
        <w:t xml:space="preserve"> supports a phased return to work for employees after bereavement, considering each individual’s readiness and capacity to resume work.</w:t>
      </w:r>
    </w:p>
    <w:p w14:paraId="2EEF5B18" w14:textId="77777777" w:rsidR="000F36C2" w:rsidRPr="002E5309" w:rsidRDefault="000F36C2" w:rsidP="000F36C2">
      <w:pPr>
        <w:pStyle w:val="NormalWeb"/>
        <w:rPr>
          <w:rFonts w:ascii="IBM Plex Sans Text" w:hAnsi="IBM Plex Sans Text" w:cs="Calibri"/>
          <w:b/>
          <w:bCs/>
          <w:color w:val="30206B"/>
          <w:sz w:val="22"/>
          <w:szCs w:val="22"/>
          <w:lang w:val="en-US"/>
        </w:rPr>
      </w:pPr>
      <w:r w:rsidRPr="002E5309">
        <w:rPr>
          <w:rFonts w:ascii="IBM Plex Sans Text" w:hAnsi="IBM Plex Sans Text" w:cs="Calibri"/>
          <w:b/>
          <w:bCs/>
          <w:color w:val="30206B"/>
          <w:sz w:val="22"/>
          <w:szCs w:val="22"/>
          <w:lang w:val="en-US"/>
        </w:rPr>
        <w:t>Employee assistance and support</w:t>
      </w:r>
    </w:p>
    <w:p w14:paraId="53705BCA" w14:textId="130F3088" w:rsidR="000F36C2" w:rsidRPr="000F36C2" w:rsidRDefault="000F36C2" w:rsidP="000F36C2">
      <w:pPr>
        <w:pStyle w:val="NormalWeb"/>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The company provides access to counseling services and other support mechanisms through our Employee Assistance Program.</w:t>
      </w:r>
    </w:p>
    <w:p w14:paraId="187E2981" w14:textId="77777777" w:rsidR="000F36C2" w:rsidRPr="002E5309" w:rsidRDefault="000F36C2" w:rsidP="000F36C2">
      <w:pPr>
        <w:pStyle w:val="NormalWeb"/>
        <w:rPr>
          <w:rFonts w:ascii="IBM Plex Sans Text" w:hAnsi="IBM Plex Sans Text" w:cs="Calibri"/>
          <w:b/>
          <w:bCs/>
          <w:color w:val="30206B"/>
          <w:sz w:val="22"/>
          <w:szCs w:val="22"/>
          <w:lang w:val="en-US"/>
        </w:rPr>
      </w:pPr>
      <w:r w:rsidRPr="002E5309">
        <w:rPr>
          <w:rFonts w:ascii="IBM Plex Sans Text" w:hAnsi="IBM Plex Sans Text" w:cs="Calibri"/>
          <w:b/>
          <w:bCs/>
          <w:color w:val="30206B"/>
          <w:sz w:val="22"/>
          <w:szCs w:val="22"/>
          <w:lang w:val="en-US"/>
        </w:rPr>
        <w:t>Health and safety considerations</w:t>
      </w:r>
    </w:p>
    <w:p w14:paraId="2F39DD84" w14:textId="28FAAFCD" w:rsidR="000F36C2" w:rsidRPr="000F36C2" w:rsidRDefault="000F36C2" w:rsidP="000F36C2">
      <w:pPr>
        <w:pStyle w:val="NormalWeb"/>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The impact of bereavement on an employee’s concentration and wellbeing will be considered in health and safety assessments, especially for roles requiring high levels of attention or operating machinery.</w:t>
      </w:r>
    </w:p>
    <w:p w14:paraId="59F3EDF0" w14:textId="77777777" w:rsidR="000F36C2" w:rsidRPr="002E5309" w:rsidRDefault="000F36C2" w:rsidP="000F36C2">
      <w:pPr>
        <w:pStyle w:val="NormalWeb"/>
        <w:rPr>
          <w:rFonts w:ascii="IBM Plex Sans Text" w:hAnsi="IBM Plex Sans Text" w:cs="Calibri"/>
          <w:b/>
          <w:bCs/>
          <w:color w:val="30206B"/>
          <w:sz w:val="22"/>
          <w:szCs w:val="22"/>
          <w:lang w:val="en-US"/>
        </w:rPr>
      </w:pPr>
      <w:r w:rsidRPr="002E5309">
        <w:rPr>
          <w:rFonts w:ascii="IBM Plex Sans Text" w:hAnsi="IBM Plex Sans Text" w:cs="Calibri"/>
          <w:b/>
          <w:bCs/>
          <w:color w:val="30206B"/>
          <w:sz w:val="22"/>
          <w:szCs w:val="22"/>
          <w:lang w:val="en-US"/>
        </w:rPr>
        <w:t>Cultural and diversity considerations</w:t>
      </w:r>
    </w:p>
    <w:p w14:paraId="46B224AB" w14:textId="4AF6E4E1" w:rsidR="000F36C2" w:rsidRPr="000F36C2" w:rsidRDefault="000F36C2" w:rsidP="000F36C2">
      <w:pPr>
        <w:pStyle w:val="NormalWeb"/>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The company recognizes and respects the diverse cultural practices and beliefs surrounding death and bereavement. Employees are encouraged to communicate any specific needs or observances required during their time of bereavement.</w:t>
      </w:r>
    </w:p>
    <w:p w14:paraId="4A245874" w14:textId="2000B84F" w:rsidR="00077885" w:rsidRDefault="000F36C2" w:rsidP="00077885">
      <w:pPr>
        <w:pStyle w:val="NormalWeb"/>
        <w:rPr>
          <w:rFonts w:ascii="IBM Plex Sans Text" w:hAnsi="IBM Plex Sans Text" w:cs="Calibri"/>
          <w:color w:val="000000" w:themeColor="text1"/>
          <w:sz w:val="22"/>
          <w:szCs w:val="22"/>
          <w:lang w:val="en-US"/>
        </w:rPr>
      </w:pPr>
      <w:r w:rsidRPr="000F36C2">
        <w:rPr>
          <w:rFonts w:ascii="IBM Plex Sans Text" w:hAnsi="IBM Plex Sans Text" w:cs="Calibri"/>
          <w:color w:val="000000" w:themeColor="text1"/>
          <w:sz w:val="22"/>
          <w:szCs w:val="22"/>
          <w:lang w:val="en-US"/>
        </w:rPr>
        <w:t xml:space="preserve">This policy is a living document and will be reviewed periodically to ensure it remains relevant and sensitive to the needs of all employees. It also serves as a testament to </w:t>
      </w:r>
      <w:r w:rsidRPr="00B17EFC">
        <w:rPr>
          <w:rFonts w:ascii="IBM Plex Sans Text" w:hAnsi="IBM Plex Sans Text" w:cs="Calibri"/>
          <w:b/>
          <w:bCs/>
          <w:color w:val="000000" w:themeColor="text1"/>
          <w:sz w:val="22"/>
          <w:szCs w:val="22"/>
          <w:lang w:val="en-US"/>
        </w:rPr>
        <w:t>[Company name]</w:t>
      </w:r>
      <w:r w:rsidRPr="000F36C2">
        <w:rPr>
          <w:rFonts w:ascii="IBM Plex Sans Text" w:hAnsi="IBM Plex Sans Text" w:cs="Calibri"/>
          <w:color w:val="000000" w:themeColor="text1"/>
          <w:sz w:val="22"/>
          <w:szCs w:val="22"/>
          <w:lang w:val="en-US"/>
        </w:rPr>
        <w:t>’s commitment to creating a supportive and understanding work environment.</w:t>
      </w:r>
    </w:p>
    <w:p w14:paraId="40460A6B" w14:textId="77777777" w:rsidR="0046239E" w:rsidRDefault="0046239E" w:rsidP="00077885">
      <w:pPr>
        <w:pStyle w:val="NormalWeb"/>
        <w:rPr>
          <w:rFonts w:ascii="IBM Plex Sans Text" w:hAnsi="IBM Plex Sans Text" w:cs="Calibri"/>
          <w:color w:val="000000" w:themeColor="text1"/>
          <w:sz w:val="22"/>
          <w:szCs w:val="22"/>
          <w:lang w:val="en-US"/>
        </w:rPr>
      </w:pPr>
    </w:p>
    <w:p w14:paraId="6066EDBA" w14:textId="77777777" w:rsidR="0046239E" w:rsidRDefault="0046239E" w:rsidP="00077885">
      <w:pPr>
        <w:pStyle w:val="NormalWeb"/>
        <w:rPr>
          <w:rFonts w:ascii="IBM Plex Sans Text" w:hAnsi="IBM Plex Sans Text" w:cs="Calibri"/>
          <w:color w:val="000000" w:themeColor="text1"/>
          <w:sz w:val="22"/>
          <w:szCs w:val="22"/>
          <w:lang w:val="en-US"/>
        </w:rPr>
      </w:pPr>
    </w:p>
    <w:p w14:paraId="0899501E" w14:textId="77777777" w:rsidR="0046239E" w:rsidRDefault="0046239E" w:rsidP="00077885">
      <w:pPr>
        <w:pStyle w:val="NormalWeb"/>
        <w:rPr>
          <w:rFonts w:ascii="IBM Plex Sans Text" w:hAnsi="IBM Plex Sans Text" w:cs="Calibri"/>
          <w:color w:val="000000" w:themeColor="text1"/>
          <w:sz w:val="22"/>
          <w:szCs w:val="22"/>
          <w:lang w:val="en-US"/>
        </w:rPr>
      </w:pPr>
    </w:p>
    <w:p w14:paraId="1E448DE7" w14:textId="77777777" w:rsidR="0046239E" w:rsidRDefault="0046239E" w:rsidP="00077885">
      <w:pPr>
        <w:pStyle w:val="NormalWeb"/>
        <w:rPr>
          <w:rFonts w:ascii="IBM Plex Sans Text" w:hAnsi="IBM Plex Sans Text" w:cs="Calibri"/>
          <w:color w:val="000000" w:themeColor="text1"/>
          <w:sz w:val="22"/>
          <w:szCs w:val="22"/>
          <w:lang w:val="en-US"/>
        </w:rPr>
      </w:pPr>
    </w:p>
    <w:p w14:paraId="16D8F85D" w14:textId="77777777" w:rsidR="0046239E" w:rsidRDefault="0046239E" w:rsidP="00077885">
      <w:pPr>
        <w:pStyle w:val="NormalWeb"/>
        <w:rPr>
          <w:rFonts w:ascii="IBM Plex Sans Text" w:hAnsi="IBM Plex Sans Text" w:cs="Calibri"/>
          <w:color w:val="000000" w:themeColor="text1"/>
          <w:sz w:val="22"/>
          <w:szCs w:val="22"/>
          <w:lang w:val="en-US"/>
        </w:rPr>
      </w:pPr>
    </w:p>
    <w:p w14:paraId="0FCA869E" w14:textId="77777777" w:rsidR="0046239E" w:rsidRDefault="0046239E" w:rsidP="00077885">
      <w:pPr>
        <w:pStyle w:val="NormalWeb"/>
        <w:rPr>
          <w:rFonts w:ascii="IBM Plex Sans Text" w:hAnsi="IBM Plex Sans Text" w:cs="Calibri"/>
          <w:color w:val="000000" w:themeColor="text1"/>
          <w:sz w:val="22"/>
          <w:szCs w:val="22"/>
          <w:lang w:val="en-US"/>
        </w:rPr>
      </w:pPr>
    </w:p>
    <w:p w14:paraId="4484E2CE" w14:textId="77777777" w:rsidR="0046239E" w:rsidRDefault="0046239E" w:rsidP="00077885">
      <w:pPr>
        <w:pStyle w:val="NormalWeb"/>
        <w:rPr>
          <w:rFonts w:ascii="IBM Plex Sans Text" w:hAnsi="IBM Plex Sans Text" w:cs="Calibri"/>
          <w:color w:val="000000" w:themeColor="text1"/>
          <w:sz w:val="22"/>
          <w:szCs w:val="22"/>
          <w:lang w:val="en-US"/>
        </w:rPr>
      </w:pPr>
    </w:p>
    <w:p w14:paraId="79B968D9" w14:textId="77777777" w:rsidR="0046239E" w:rsidRDefault="0046239E" w:rsidP="00077885">
      <w:pPr>
        <w:pStyle w:val="NormalWeb"/>
        <w:rPr>
          <w:rFonts w:ascii="IBM Plex Sans Text" w:hAnsi="IBM Plex Sans Text" w:cs="Calibri"/>
          <w:color w:val="000000" w:themeColor="text1"/>
          <w:sz w:val="22"/>
          <w:szCs w:val="22"/>
          <w:lang w:val="en-US"/>
        </w:rPr>
      </w:pPr>
    </w:p>
    <w:p w14:paraId="47CA2E5D" w14:textId="77777777" w:rsidR="0046239E" w:rsidRDefault="0046239E" w:rsidP="00077885">
      <w:pPr>
        <w:pStyle w:val="NormalWeb"/>
        <w:rPr>
          <w:rFonts w:ascii="IBM Plex Sans Text" w:hAnsi="IBM Plex Sans Text" w:cs="Calibri"/>
          <w:color w:val="000000" w:themeColor="text1"/>
          <w:sz w:val="22"/>
          <w:szCs w:val="22"/>
          <w:lang w:val="en-US"/>
        </w:rPr>
      </w:pPr>
    </w:p>
    <w:p w14:paraId="600E1E72" w14:textId="77777777" w:rsidR="0046239E" w:rsidRDefault="0046239E" w:rsidP="00077885">
      <w:pPr>
        <w:pStyle w:val="NormalWeb"/>
        <w:rPr>
          <w:rFonts w:ascii="IBM Plex Sans Text" w:hAnsi="IBM Plex Sans Text" w:cs="Calibri"/>
          <w:color w:val="000000" w:themeColor="text1"/>
          <w:sz w:val="22"/>
          <w:szCs w:val="22"/>
          <w:lang w:val="en-US"/>
        </w:rPr>
      </w:pPr>
    </w:p>
    <w:p w14:paraId="1F97D131" w14:textId="77777777" w:rsidR="0046239E" w:rsidRDefault="0046239E" w:rsidP="00077885">
      <w:pPr>
        <w:pStyle w:val="NormalWeb"/>
        <w:rPr>
          <w:rFonts w:ascii="IBM Plex Sans Text" w:hAnsi="IBM Plex Sans Text" w:cs="Calibri"/>
          <w:color w:val="000000" w:themeColor="text1"/>
          <w:sz w:val="22"/>
          <w:szCs w:val="22"/>
          <w:lang w:val="en-US"/>
        </w:rPr>
      </w:pPr>
    </w:p>
    <w:p w14:paraId="41C2FC73" w14:textId="77777777" w:rsidR="0046239E" w:rsidRDefault="0046239E" w:rsidP="00077885">
      <w:pPr>
        <w:pStyle w:val="NormalWeb"/>
        <w:rPr>
          <w:rFonts w:ascii="IBM Plex Sans Text" w:hAnsi="IBM Plex Sans Text" w:cs="Calibri"/>
          <w:color w:val="000000" w:themeColor="text1"/>
          <w:sz w:val="22"/>
          <w:szCs w:val="22"/>
          <w:lang w:val="en-US"/>
        </w:rPr>
      </w:pPr>
    </w:p>
    <w:p w14:paraId="07E949D7" w14:textId="77777777" w:rsidR="0046239E" w:rsidRDefault="0046239E" w:rsidP="00077885">
      <w:pPr>
        <w:pStyle w:val="NormalWeb"/>
        <w:rPr>
          <w:rFonts w:ascii="IBM Plex Sans Text" w:hAnsi="IBM Plex Sans Text" w:cs="Calibri"/>
          <w:color w:val="000000" w:themeColor="text1"/>
          <w:sz w:val="22"/>
          <w:szCs w:val="22"/>
          <w:lang w:val="en-US"/>
        </w:rPr>
      </w:pPr>
    </w:p>
    <w:p w14:paraId="0C7FE026" w14:textId="77777777" w:rsidR="0046239E" w:rsidRDefault="0046239E" w:rsidP="00077885">
      <w:pPr>
        <w:pStyle w:val="NormalWeb"/>
        <w:rPr>
          <w:rFonts w:ascii="IBM Plex Sans Text" w:hAnsi="IBM Plex Sans Text" w:cs="Calibri"/>
          <w:color w:val="000000" w:themeColor="text1"/>
          <w:sz w:val="22"/>
          <w:szCs w:val="22"/>
          <w:lang w:val="en-US"/>
        </w:rPr>
      </w:pPr>
    </w:p>
    <w:p w14:paraId="07E3C64B" w14:textId="77777777" w:rsidR="0046239E" w:rsidRDefault="0046239E" w:rsidP="00077885">
      <w:pPr>
        <w:pStyle w:val="NormalWeb"/>
        <w:rPr>
          <w:rFonts w:ascii="IBM Plex Sans Text" w:hAnsi="IBM Plex Sans Text" w:cs="Calibri"/>
          <w:color w:val="000000" w:themeColor="text1"/>
          <w:sz w:val="22"/>
          <w:szCs w:val="22"/>
          <w:lang w:val="en-US"/>
        </w:rPr>
      </w:pPr>
    </w:p>
    <w:p w14:paraId="155CB26F" w14:textId="77777777" w:rsidR="0046239E" w:rsidRDefault="0046239E" w:rsidP="00077885">
      <w:pPr>
        <w:pStyle w:val="NormalWeb"/>
        <w:rPr>
          <w:rFonts w:ascii="IBM Plex Sans Text" w:hAnsi="IBM Plex Sans Text" w:cs="Calibri"/>
          <w:color w:val="000000" w:themeColor="text1"/>
          <w:sz w:val="22"/>
          <w:szCs w:val="22"/>
          <w:lang w:val="en-US"/>
        </w:rPr>
      </w:pPr>
    </w:p>
    <w:p w14:paraId="2C3BFDDA" w14:textId="77777777" w:rsidR="0046239E" w:rsidRDefault="0046239E" w:rsidP="00077885">
      <w:pPr>
        <w:pStyle w:val="NormalWeb"/>
        <w:rPr>
          <w:rFonts w:ascii="IBM Plex Sans Text" w:hAnsi="IBM Plex Sans Text" w:cs="Calibri"/>
          <w:color w:val="000000" w:themeColor="text1"/>
          <w:sz w:val="22"/>
          <w:szCs w:val="22"/>
          <w:lang w:val="en-US"/>
        </w:rPr>
      </w:pPr>
    </w:p>
    <w:p w14:paraId="7C482FF2" w14:textId="7024A815" w:rsidR="007A5196" w:rsidRDefault="007A5196">
      <w:pPr>
        <w:rPr>
          <w:rFonts w:ascii="IBM Plex Sans Text" w:hAnsi="IBM Plex Sans Text" w:cs="Calibri"/>
          <w:color w:val="000000" w:themeColor="text1"/>
          <w:sz w:val="22"/>
          <w:szCs w:val="22"/>
          <w:lang w:val="en-US"/>
        </w:rPr>
      </w:pPr>
    </w:p>
    <w:p w14:paraId="720738A4" w14:textId="77777777" w:rsidR="00FC61FA" w:rsidRDefault="00FC61FA" w:rsidP="00077885">
      <w:pPr>
        <w:pStyle w:val="NormalWeb"/>
        <w:rPr>
          <w:rFonts w:ascii="IBM Plex Sans Text" w:hAnsi="IBM Plex Sans Text" w:cs="Calibri"/>
          <w:color w:val="000000" w:themeColor="text1"/>
          <w:sz w:val="22"/>
          <w:szCs w:val="22"/>
          <w:lang w:val="en-US"/>
        </w:rPr>
      </w:pPr>
    </w:p>
    <w:p w14:paraId="001AC433" w14:textId="77777777" w:rsidR="0046239E" w:rsidRDefault="0046239E" w:rsidP="00077885">
      <w:pPr>
        <w:pStyle w:val="NormalWeb"/>
        <w:rPr>
          <w:rFonts w:ascii="IBM Plex Sans Text" w:hAnsi="IBM Plex Sans Text" w:cs="Calibri"/>
          <w:color w:val="000000" w:themeColor="text1"/>
          <w:sz w:val="22"/>
          <w:szCs w:val="22"/>
          <w:lang w:val="en-US"/>
        </w:rPr>
      </w:pPr>
    </w:p>
    <w:p w14:paraId="644E4EB4" w14:textId="4DEFAF32" w:rsidR="00077885" w:rsidRDefault="00FC61FA" w:rsidP="00077885">
      <w:pPr>
        <w:jc w:val="center"/>
        <w:rPr>
          <w:rFonts w:ascii="IBM Plex Sans" w:eastAsia="IBM Plex Sans" w:hAnsi="IBM Plex Sans" w:cs="IBM Plex Sans"/>
          <w:color w:val="30206B"/>
          <w:sz w:val="16"/>
          <w:szCs w:val="16"/>
          <w:u w:val="single"/>
        </w:rPr>
      </w:pPr>
      <w:r>
        <w:rPr>
          <w:rFonts w:ascii="IBM Plex Sans" w:eastAsia="IBM Plex Sans" w:hAnsi="IBM Plex Sans" w:cs="IBM Plex Sans"/>
          <w:color w:val="30206B"/>
          <w:sz w:val="16"/>
          <w:szCs w:val="16"/>
          <w:u w:val="single"/>
        </w:rPr>
        <w:br/>
      </w:r>
    </w:p>
    <w:p w14:paraId="6AB04557" w14:textId="7F939A34" w:rsidR="005115A4" w:rsidRDefault="005115A4" w:rsidP="00077885">
      <w:pPr>
        <w:pStyle w:val="NormalWeb"/>
      </w:pPr>
    </w:p>
    <w:p w14:paraId="16595768" w14:textId="3F1AF7C7" w:rsidR="00077885" w:rsidRDefault="00077885" w:rsidP="00077885">
      <w:pPr>
        <w:pStyle w:val="NormalWeb"/>
      </w:pPr>
    </w:p>
    <w:p w14:paraId="142B8BC7" w14:textId="51974BB5" w:rsidR="00077885" w:rsidRDefault="00077885" w:rsidP="00077885">
      <w:pPr>
        <w:pStyle w:val="NormalWeb"/>
      </w:pPr>
    </w:p>
    <w:p w14:paraId="7B2C7F98" w14:textId="3CC9A7A4" w:rsidR="00077885" w:rsidRPr="00077885" w:rsidRDefault="00077885" w:rsidP="00077885">
      <w:pPr>
        <w:pStyle w:val="NormalWeb"/>
        <w:rPr>
          <w:rFonts w:ascii="IBM Plex Sans Text" w:hAnsi="IBM Plex Sans Text" w:cs="Calibri"/>
          <w:color w:val="000000" w:themeColor="text1"/>
          <w:sz w:val="22"/>
          <w:szCs w:val="22"/>
          <w:lang w:val="en-US"/>
        </w:rPr>
      </w:pPr>
    </w:p>
    <w:p w14:paraId="3BFC6CCC" w14:textId="6E311ED3" w:rsidR="00D05075" w:rsidRDefault="00D05075">
      <w:pPr>
        <w:rPr>
          <w:rFonts w:ascii="IBM Plex Sans Text" w:hAnsi="IBM Plex Sans Text" w:cs="Calibri"/>
          <w:color w:val="000000"/>
          <w:sz w:val="22"/>
          <w:szCs w:val="22"/>
        </w:rPr>
      </w:pPr>
    </w:p>
    <w:p w14:paraId="7DA1EBD8" w14:textId="0159E1DB" w:rsidR="00E03A4A" w:rsidRDefault="00E03A4A" w:rsidP="00E03A4A">
      <w:pPr>
        <w:pStyle w:val="NormalWeb"/>
        <w:spacing w:before="240" w:beforeAutospacing="0" w:after="240" w:afterAutospacing="0"/>
        <w:rPr>
          <w:rFonts w:ascii="IBM Plex Sans Text" w:hAnsi="IBM Plex Sans Text" w:cs="Calibri"/>
          <w:color w:val="000000"/>
          <w:sz w:val="22"/>
          <w:szCs w:val="22"/>
        </w:rPr>
      </w:pPr>
    </w:p>
    <w:p w14:paraId="4606C05E" w14:textId="2E2B58BF" w:rsidR="00952B30" w:rsidRPr="00E03A4A" w:rsidRDefault="00952B30" w:rsidP="00E03A4A">
      <w:pPr>
        <w:pStyle w:val="NormalWeb"/>
        <w:spacing w:before="240" w:beforeAutospacing="0" w:after="240" w:afterAutospacing="0"/>
        <w:rPr>
          <w:rFonts w:ascii="IBM Plex Sans Text" w:hAnsi="IBM Plex Sans Text"/>
        </w:rPr>
      </w:pPr>
    </w:p>
    <w:p w14:paraId="6840181D" w14:textId="4123EE77" w:rsidR="00E03A4A" w:rsidRDefault="00E03A4A" w:rsidP="00E03A4A"/>
    <w:p w14:paraId="0D365324" w14:textId="26EB135F" w:rsidR="00E03A4A" w:rsidRPr="00514C00" w:rsidRDefault="00E03A4A" w:rsidP="00E03A4A">
      <w:pPr>
        <w:spacing w:after="120"/>
        <w:rPr>
          <w:rFonts w:ascii="IBM Plex Sans Text" w:hAnsi="IBM Plex Sans Text" w:cs="Calibri"/>
          <w:b/>
          <w:bCs/>
          <w:color w:val="30206B"/>
          <w:sz w:val="48"/>
          <w:szCs w:val="48"/>
        </w:rPr>
      </w:pPr>
    </w:p>
    <w:p w14:paraId="0C3FD046" w14:textId="7F20F0FF" w:rsidR="00514C00" w:rsidRPr="00952B30" w:rsidRDefault="0046239E">
      <w:pPr>
        <w:rPr>
          <w:rFonts w:ascii="IBM Plex Sans Text" w:hAnsi="IBM Plex Sans Text"/>
        </w:rPr>
      </w:pPr>
      <w:r w:rsidRPr="0046239E">
        <w:rPr>
          <w:rFonts w:ascii="IBM Plex Sans Text" w:hAnsi="IBM Plex Sans Text"/>
          <w:noProof/>
        </w:rPr>
        <w:drawing>
          <wp:anchor distT="0" distB="0" distL="114300" distR="114300" simplePos="0" relativeHeight="251658240" behindDoc="1" locked="0" layoutInCell="1" allowOverlap="1" wp14:anchorId="317C98EC" wp14:editId="1486620C">
            <wp:simplePos x="0" y="0"/>
            <wp:positionH relativeFrom="column">
              <wp:posOffset>-457200</wp:posOffset>
            </wp:positionH>
            <wp:positionV relativeFrom="page">
              <wp:posOffset>0</wp:posOffset>
            </wp:positionV>
            <wp:extent cx="7545705" cy="10725785"/>
            <wp:effectExtent l="0" t="0" r="0" b="5715"/>
            <wp:wrapNone/>
            <wp:docPr id="858735652"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35652"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7545705" cy="10725785"/>
                    </a:xfrm>
                    <a:prstGeom prst="rect">
                      <a:avLst/>
                    </a:prstGeom>
                  </pic:spPr>
                </pic:pic>
              </a:graphicData>
            </a:graphic>
            <wp14:sizeRelH relativeFrom="page">
              <wp14:pctWidth>0</wp14:pctWidth>
            </wp14:sizeRelH>
            <wp14:sizeRelV relativeFrom="page">
              <wp14:pctHeight>0</wp14:pctHeight>
            </wp14:sizeRelV>
          </wp:anchor>
        </w:drawing>
      </w:r>
    </w:p>
    <w:sectPr w:rsidR="00514C00" w:rsidRPr="00952B30" w:rsidSect="005427CA">
      <w:headerReference w:type="default" r:id="rId10"/>
      <w:pgSz w:w="11906" w:h="16838"/>
      <w:pgMar w:top="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31BD" w14:textId="77777777" w:rsidR="009F057A" w:rsidRDefault="009F057A" w:rsidP="00A0706E">
      <w:r>
        <w:separator/>
      </w:r>
    </w:p>
  </w:endnote>
  <w:endnote w:type="continuationSeparator" w:id="0">
    <w:p w14:paraId="45154374" w14:textId="77777777" w:rsidR="009F057A" w:rsidRDefault="009F057A"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altName w:val="Calibri"/>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IBM Plex Sans">
    <w:panose1 w:val="020B05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B4FA" w14:textId="77777777" w:rsidR="009F057A" w:rsidRDefault="009F057A" w:rsidP="00A0706E">
      <w:r>
        <w:separator/>
      </w:r>
    </w:p>
  </w:footnote>
  <w:footnote w:type="continuationSeparator" w:id="0">
    <w:p w14:paraId="08470353" w14:textId="77777777" w:rsidR="009F057A" w:rsidRDefault="009F057A"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96D"/>
    <w:multiLevelType w:val="hybridMultilevel"/>
    <w:tmpl w:val="0B1ED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36552"/>
    <w:multiLevelType w:val="hybridMultilevel"/>
    <w:tmpl w:val="AD96E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D038B4"/>
    <w:multiLevelType w:val="hybridMultilevel"/>
    <w:tmpl w:val="074EB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0436C"/>
    <w:multiLevelType w:val="hybridMultilevel"/>
    <w:tmpl w:val="8724F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7D0C7D"/>
    <w:multiLevelType w:val="hybridMultilevel"/>
    <w:tmpl w:val="9490C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A4399A"/>
    <w:multiLevelType w:val="hybridMultilevel"/>
    <w:tmpl w:val="EFBEF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7403858">
    <w:abstractNumId w:val="1"/>
  </w:num>
  <w:num w:numId="2" w16cid:durableId="182327558">
    <w:abstractNumId w:val="4"/>
  </w:num>
  <w:num w:numId="3" w16cid:durableId="973027506">
    <w:abstractNumId w:val="6"/>
  </w:num>
  <w:num w:numId="4" w16cid:durableId="60175185">
    <w:abstractNumId w:val="10"/>
  </w:num>
  <w:num w:numId="5" w16cid:durableId="955060567">
    <w:abstractNumId w:val="5"/>
  </w:num>
  <w:num w:numId="6" w16cid:durableId="744836841">
    <w:abstractNumId w:val="9"/>
  </w:num>
  <w:num w:numId="7" w16cid:durableId="162355734">
    <w:abstractNumId w:val="8"/>
  </w:num>
  <w:num w:numId="8" w16cid:durableId="1569149056">
    <w:abstractNumId w:val="12"/>
  </w:num>
  <w:num w:numId="9" w16cid:durableId="971205055">
    <w:abstractNumId w:val="0"/>
  </w:num>
  <w:num w:numId="10" w16cid:durableId="2140344650">
    <w:abstractNumId w:val="11"/>
  </w:num>
  <w:num w:numId="11" w16cid:durableId="19749227">
    <w:abstractNumId w:val="2"/>
  </w:num>
  <w:num w:numId="12" w16cid:durableId="871499112">
    <w:abstractNumId w:val="3"/>
  </w:num>
  <w:num w:numId="13" w16cid:durableId="455761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77885"/>
    <w:rsid w:val="000D2329"/>
    <w:rsid w:val="000D418F"/>
    <w:rsid w:val="000F36C2"/>
    <w:rsid w:val="00116C65"/>
    <w:rsid w:val="00160697"/>
    <w:rsid w:val="00170ACB"/>
    <w:rsid w:val="0019657F"/>
    <w:rsid w:val="001F6A2C"/>
    <w:rsid w:val="0026481D"/>
    <w:rsid w:val="00283907"/>
    <w:rsid w:val="002E5309"/>
    <w:rsid w:val="002E7C8D"/>
    <w:rsid w:val="0034319B"/>
    <w:rsid w:val="00365D94"/>
    <w:rsid w:val="003817CE"/>
    <w:rsid w:val="003F1741"/>
    <w:rsid w:val="003F7B21"/>
    <w:rsid w:val="004330B6"/>
    <w:rsid w:val="00444117"/>
    <w:rsid w:val="00453ADF"/>
    <w:rsid w:val="0046239E"/>
    <w:rsid w:val="0046329A"/>
    <w:rsid w:val="004D3161"/>
    <w:rsid w:val="004D7FD3"/>
    <w:rsid w:val="005115A4"/>
    <w:rsid w:val="00514C00"/>
    <w:rsid w:val="00520CE4"/>
    <w:rsid w:val="00526478"/>
    <w:rsid w:val="00540FC6"/>
    <w:rsid w:val="005427CA"/>
    <w:rsid w:val="00554920"/>
    <w:rsid w:val="00570E86"/>
    <w:rsid w:val="005C79DF"/>
    <w:rsid w:val="00671709"/>
    <w:rsid w:val="00693549"/>
    <w:rsid w:val="00694DAB"/>
    <w:rsid w:val="007071EF"/>
    <w:rsid w:val="00734BF4"/>
    <w:rsid w:val="00736A97"/>
    <w:rsid w:val="007A37C7"/>
    <w:rsid w:val="007A5196"/>
    <w:rsid w:val="007B5282"/>
    <w:rsid w:val="007E180D"/>
    <w:rsid w:val="007F50A7"/>
    <w:rsid w:val="00832FAA"/>
    <w:rsid w:val="00835AEF"/>
    <w:rsid w:val="008A2995"/>
    <w:rsid w:val="008D4DBD"/>
    <w:rsid w:val="009013AA"/>
    <w:rsid w:val="009524A2"/>
    <w:rsid w:val="00952B30"/>
    <w:rsid w:val="009F057A"/>
    <w:rsid w:val="009F79CF"/>
    <w:rsid w:val="00A0706E"/>
    <w:rsid w:val="00A21071"/>
    <w:rsid w:val="00A5370D"/>
    <w:rsid w:val="00AC1CD0"/>
    <w:rsid w:val="00B17EFC"/>
    <w:rsid w:val="00B42278"/>
    <w:rsid w:val="00B50451"/>
    <w:rsid w:val="00C35D5B"/>
    <w:rsid w:val="00C81166"/>
    <w:rsid w:val="00CB7BFE"/>
    <w:rsid w:val="00D05075"/>
    <w:rsid w:val="00D10822"/>
    <w:rsid w:val="00D45F17"/>
    <w:rsid w:val="00D57945"/>
    <w:rsid w:val="00D84DDE"/>
    <w:rsid w:val="00DC5E85"/>
    <w:rsid w:val="00DE330A"/>
    <w:rsid w:val="00DF2BF6"/>
    <w:rsid w:val="00E01AB0"/>
    <w:rsid w:val="00E03A4A"/>
    <w:rsid w:val="00E14172"/>
    <w:rsid w:val="00E825EF"/>
    <w:rsid w:val="00E9520F"/>
    <w:rsid w:val="00EB1AB4"/>
    <w:rsid w:val="00ED0D59"/>
    <w:rsid w:val="00F0104C"/>
    <w:rsid w:val="00FB0640"/>
    <w:rsid w:val="00FC61FA"/>
    <w:rsid w:val="00FE3352"/>
  </w:rsids>
  <m:mathPr>
    <m:mathFont m:val="Cambria Math"/>
    <m:brkBin m:val="before"/>
    <m:brkBinSub m:val="--"/>
    <m:smallFrac m:val="0"/>
    <m:dispDef/>
    <m:lMargin m:val="0"/>
    <m:rMargin m:val="0"/>
    <m:defJc m:val="centerGroup"/>
    <m:wrapIndent m:val="1440"/>
    <m:intLim m:val="subSup"/>
    <m:naryLim m:val="undOvr"/>
  </m:mathPr>
  <w:themeFontLang w:val="en-NL"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A4A"/>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val="en-US"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platform/?utm_source=resource&amp;utm_medium=resource&amp;utm_campaign=templates&amp;utm_content=templ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2023-04-12T12:39:00Z</cp:lastPrinted>
  <dcterms:created xsi:type="dcterms:W3CDTF">2024-01-08T09:52:00Z</dcterms:created>
  <dcterms:modified xsi:type="dcterms:W3CDTF">2024-01-10T10:24:00Z</dcterms:modified>
</cp:coreProperties>
</file>